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452" w14:textId="65FC5A0D" w:rsidR="00B20529" w:rsidRDefault="00000000">
      <w:pPr>
        <w:spacing w:before="83"/>
        <w:ind w:left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A177B0" wp14:editId="7D797BAB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8E684" id="Graphic 5" o:spid="_x0000_s1026" style="position:absolute;margin-left:30pt;margin-top:110pt;width:29pt;height:23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1167/2024</w:t>
      </w:r>
    </w:p>
    <w:p w14:paraId="71065CB7" w14:textId="42C89C5C" w:rsidR="00557C13" w:rsidRPr="00557C13" w:rsidRDefault="00000000">
      <w:pPr>
        <w:ind w:left="120" w:right="886"/>
        <w:rPr>
          <w:bCs/>
          <w:sz w:val="20"/>
        </w:rPr>
      </w:pPr>
      <w:r>
        <w:rPr>
          <w:b/>
          <w:sz w:val="20"/>
        </w:rPr>
        <w:t>Notificación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Interesado</w:t>
      </w:r>
      <w:r>
        <w:rPr>
          <w:b/>
          <w:spacing w:val="-6"/>
          <w:sz w:val="20"/>
        </w:rPr>
        <w:t xml:space="preserve"> </w:t>
      </w:r>
      <w:r w:rsidR="00557C13"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proofErr w:type="gramStart"/>
      <w:r w:rsidR="00557C13" w:rsidRPr="00557C13">
        <w:rPr>
          <w:bCs/>
          <w:spacing w:val="-6"/>
          <w:sz w:val="20"/>
        </w:rPr>
        <w:t>D.ª</w:t>
      </w:r>
      <w:proofErr w:type="gramEnd"/>
      <w:r w:rsidR="00557C13" w:rsidRPr="00557C13">
        <w:rPr>
          <w:bCs/>
          <w:spacing w:val="-6"/>
          <w:sz w:val="20"/>
        </w:rPr>
        <w:t xml:space="preserve"> M.E.P.F. </w:t>
      </w:r>
      <w:r w:rsidR="00557C13" w:rsidRPr="00557C13">
        <w:rPr>
          <w:bCs/>
          <w:sz w:val="20"/>
        </w:rPr>
        <w:t>***</w:t>
      </w:r>
      <w:r w:rsidRPr="00557C13">
        <w:rPr>
          <w:bCs/>
          <w:sz w:val="20"/>
        </w:rPr>
        <w:t>9110</w:t>
      </w:r>
      <w:r w:rsidR="00557C13" w:rsidRPr="00557C13">
        <w:rPr>
          <w:bCs/>
          <w:sz w:val="20"/>
        </w:rPr>
        <w:t>**</w:t>
      </w:r>
      <w:r w:rsidRPr="00557C13">
        <w:rPr>
          <w:bCs/>
          <w:sz w:val="20"/>
        </w:rPr>
        <w:t xml:space="preserve"> </w:t>
      </w:r>
    </w:p>
    <w:p w14:paraId="6BA948CA" w14:textId="47B7CB7D" w:rsidR="00B20529" w:rsidRDefault="00000000">
      <w:pPr>
        <w:ind w:left="120" w:right="886"/>
        <w:rPr>
          <w:sz w:val="20"/>
        </w:rPr>
      </w:pPr>
      <w:r>
        <w:rPr>
          <w:b/>
          <w:sz w:val="20"/>
        </w:rPr>
        <w:t xml:space="preserve">Procedimiento: </w:t>
      </w:r>
      <w:r>
        <w:rPr>
          <w:sz w:val="20"/>
        </w:rPr>
        <w:t>Ejercicio del Derecho de Acceso</w:t>
      </w:r>
    </w:p>
    <w:p w14:paraId="585A66C4" w14:textId="11C1C130" w:rsidR="00B20529" w:rsidRPr="00557C13" w:rsidRDefault="00000000">
      <w:pPr>
        <w:ind w:left="120"/>
        <w:rPr>
          <w:bCs/>
          <w:sz w:val="20"/>
        </w:rPr>
      </w:pPr>
      <w:r>
        <w:rPr>
          <w:b/>
          <w:sz w:val="20"/>
        </w:rPr>
        <w:t>Interesado:</w:t>
      </w:r>
      <w:r>
        <w:rPr>
          <w:b/>
          <w:spacing w:val="-4"/>
          <w:sz w:val="20"/>
        </w:rPr>
        <w:t xml:space="preserve"> </w:t>
      </w:r>
      <w:proofErr w:type="gramStart"/>
      <w:r w:rsidR="00557C13" w:rsidRPr="00557C13">
        <w:rPr>
          <w:bCs/>
          <w:spacing w:val="-4"/>
          <w:sz w:val="20"/>
        </w:rPr>
        <w:t>D.ª</w:t>
      </w:r>
      <w:proofErr w:type="gramEnd"/>
      <w:r w:rsidR="00557C13" w:rsidRPr="00557C13">
        <w:rPr>
          <w:bCs/>
          <w:spacing w:val="-4"/>
          <w:sz w:val="20"/>
        </w:rPr>
        <w:t xml:space="preserve"> M.E.P.F. </w:t>
      </w:r>
    </w:p>
    <w:p w14:paraId="1F2550EF" w14:textId="77777777" w:rsidR="00B20529" w:rsidRDefault="00000000">
      <w:pPr>
        <w:ind w:left="120"/>
        <w:rPr>
          <w:sz w:val="20"/>
        </w:rPr>
      </w:pPr>
      <w:r>
        <w:rPr>
          <w:b/>
          <w:sz w:val="20"/>
        </w:rPr>
        <w:t>Fecha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iniciación: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10/01/2024</w:t>
      </w:r>
      <w:r>
        <w:rPr>
          <w:spacing w:val="-6"/>
          <w:sz w:val="20"/>
        </w:rPr>
        <w:t xml:space="preserve"> </w:t>
      </w:r>
      <w:r>
        <w:rPr>
          <w:sz w:val="20"/>
        </w:rPr>
        <w:t>09:01</w:t>
      </w:r>
      <w:r>
        <w:rPr>
          <w:spacing w:val="-5"/>
          <w:sz w:val="20"/>
        </w:rPr>
        <w:t xml:space="preserve"> </w:t>
      </w:r>
      <w:r>
        <w:rPr>
          <w:sz w:val="20"/>
        </w:rPr>
        <w:t>2024-E-RE-</w:t>
      </w:r>
      <w:r>
        <w:rPr>
          <w:spacing w:val="-5"/>
          <w:sz w:val="20"/>
        </w:rPr>
        <w:t>715</w:t>
      </w:r>
    </w:p>
    <w:p w14:paraId="759EB198" w14:textId="77777777" w:rsidR="00B20529" w:rsidRDefault="00B20529">
      <w:pPr>
        <w:pStyle w:val="Textoindependiente"/>
        <w:rPr>
          <w:sz w:val="20"/>
        </w:rPr>
      </w:pPr>
    </w:p>
    <w:p w14:paraId="64100D14" w14:textId="77777777" w:rsidR="00B20529" w:rsidRDefault="00B20529">
      <w:pPr>
        <w:pStyle w:val="Textoindependiente"/>
        <w:rPr>
          <w:sz w:val="20"/>
        </w:rPr>
      </w:pPr>
    </w:p>
    <w:p w14:paraId="56D291A7" w14:textId="77777777" w:rsidR="00B20529" w:rsidRDefault="00B20529">
      <w:pPr>
        <w:pStyle w:val="Textoindependiente"/>
        <w:spacing w:before="130"/>
        <w:rPr>
          <w:sz w:val="20"/>
        </w:rPr>
      </w:pPr>
    </w:p>
    <w:p w14:paraId="672AA841" w14:textId="77777777" w:rsidR="00B20529" w:rsidRDefault="00000000">
      <w:pPr>
        <w:ind w:right="14"/>
        <w:jc w:val="center"/>
        <w:rPr>
          <w:b/>
          <w:sz w:val="20"/>
        </w:rPr>
      </w:pPr>
      <w:r>
        <w:rPr>
          <w:b/>
          <w:spacing w:val="-2"/>
          <w:sz w:val="20"/>
        </w:rPr>
        <w:t>NOTIFICACIÓN</w:t>
      </w:r>
    </w:p>
    <w:p w14:paraId="6A85B7BA" w14:textId="2E973178" w:rsidR="00B20529" w:rsidRDefault="00557C13">
      <w:pPr>
        <w:spacing w:before="120"/>
        <w:ind w:left="5948"/>
        <w:rPr>
          <w:b/>
          <w:sz w:val="20"/>
        </w:rPr>
      </w:pPr>
      <w:r>
        <w:rPr>
          <w:b/>
          <w:sz w:val="20"/>
        </w:rPr>
        <w:t xml:space="preserve">D.ª M.E.P.F. </w:t>
      </w:r>
    </w:p>
    <w:p w14:paraId="26E64CEA" w14:textId="77777777" w:rsidR="00B20529" w:rsidRDefault="00B20529">
      <w:pPr>
        <w:pStyle w:val="Textoindependiente"/>
        <w:spacing w:before="118"/>
        <w:rPr>
          <w:b/>
        </w:rPr>
      </w:pPr>
    </w:p>
    <w:p w14:paraId="6C216786" w14:textId="77777777" w:rsidR="00B20529" w:rsidRDefault="00000000">
      <w:pPr>
        <w:pStyle w:val="Textoindependiente"/>
        <w:spacing w:before="1"/>
        <w:ind w:left="120" w:right="144" w:firstLine="708"/>
        <w:jc w:val="both"/>
      </w:pPr>
      <w:r>
        <w:t>Con fecha veinticinco de enero de dos mil veinticuatro</w:t>
      </w:r>
      <w:r>
        <w:rPr>
          <w:spacing w:val="40"/>
        </w:rPr>
        <w:t xml:space="preserve"> </w:t>
      </w:r>
      <w:r>
        <w:t xml:space="preserve">y número de registro en el Libro de Resoluciones 131/2024, el </w:t>
      </w:r>
      <w:proofErr w:type="gramStart"/>
      <w:r>
        <w:t>Concejal</w:t>
      </w:r>
      <w:proofErr w:type="gramEnd"/>
      <w:r>
        <w:t>-Delegado de Hacienda y Fiestas, D. Enrique González Gutiérrez, ha dictado el siguiente:</w:t>
      </w:r>
    </w:p>
    <w:p w14:paraId="588D7A90" w14:textId="7FB4B0D8" w:rsidR="00B20529" w:rsidRDefault="00557C13">
      <w:pPr>
        <w:pStyle w:val="Textoindependiente"/>
        <w:spacing w:before="120"/>
      </w:pPr>
      <w:r>
        <w:t>M.</w:t>
      </w:r>
    </w:p>
    <w:p w14:paraId="46A3BBF5" w14:textId="1AAE5609" w:rsidR="00B20529" w:rsidRDefault="00000000">
      <w:pPr>
        <w:pStyle w:val="Textoindependiente"/>
        <w:ind w:left="120" w:right="144" w:firstLine="696"/>
        <w:jc w:val="both"/>
      </w:pPr>
      <w:r>
        <w:t xml:space="preserve">“Vista la solicitud presentada por </w:t>
      </w:r>
      <w:proofErr w:type="gramStart"/>
      <w:r>
        <w:t>D</w:t>
      </w:r>
      <w:r w:rsidR="00557C13">
        <w:t>.</w:t>
      </w:r>
      <w:r>
        <w:t>ª</w:t>
      </w:r>
      <w:proofErr w:type="gramEnd"/>
      <w:r>
        <w:t xml:space="preserve"> </w:t>
      </w:r>
      <w:r w:rsidR="00557C13">
        <w:t xml:space="preserve">M.E.P.F., </w:t>
      </w:r>
      <w:r>
        <w:t>con número de Registro de Entrada 2024-E-RE-715 de fecha diez de enero de dos mil veinticuatro, por el cual</w:t>
      </w:r>
      <w:r>
        <w:rPr>
          <w:spacing w:val="40"/>
        </w:rPr>
        <w:t xml:space="preserve"> </w:t>
      </w:r>
      <w:r>
        <w:t>solicita el informe del</w:t>
      </w:r>
      <w:r>
        <w:rPr>
          <w:spacing w:val="-1"/>
        </w:rPr>
        <w:t xml:space="preserve"> </w:t>
      </w:r>
      <w:r>
        <w:t>responsable del órgano de gestión tributaria, relativo a las alegaciones del expediente de modificación de las Ordenanzas fiscales.</w:t>
      </w:r>
    </w:p>
    <w:p w14:paraId="126E7116" w14:textId="77777777" w:rsidR="00B20529" w:rsidRDefault="00B20529">
      <w:pPr>
        <w:pStyle w:val="Textoindependiente"/>
        <w:spacing w:before="121"/>
      </w:pPr>
    </w:p>
    <w:p w14:paraId="31F50C9E" w14:textId="77777777" w:rsidR="00B20529" w:rsidRDefault="00000000">
      <w:pPr>
        <w:pStyle w:val="Textoindependiente"/>
        <w:ind w:left="120" w:right="143" w:firstLine="696"/>
        <w:jc w:val="both"/>
      </w:pPr>
      <w:r>
        <w:t>Considerando el informe del técnico de la Unidad de Transparencia y Participación Ciudadana, de fecha veintitrés de enero de dos mil veinticuatro en la que se propone la concesión del acceso.</w:t>
      </w:r>
    </w:p>
    <w:p w14:paraId="20F1E902" w14:textId="77777777" w:rsidR="00B20529" w:rsidRDefault="00B20529">
      <w:pPr>
        <w:pStyle w:val="Textoindependiente"/>
      </w:pPr>
    </w:p>
    <w:p w14:paraId="7B84C2DF" w14:textId="77777777" w:rsidR="00B20529" w:rsidRDefault="00000000">
      <w:pPr>
        <w:pStyle w:val="Textoindependiente"/>
        <w:ind w:left="120" w:right="137"/>
        <w:jc w:val="both"/>
      </w:pPr>
      <w:r>
        <w:t xml:space="preserve">Atendiendo a los requisitos y procedimiento previsto en la Ley 19/2013 de 9 de diciembre de Transparencia, acceso a la información pública y buen gobierno, entre otros, conforme al artículo 12, todas las personas tienen derecho a acceder a la información pública, en los términos previstos en el artículo 105.b) de la Constitución Española, desarrollados por esta </w:t>
      </w:r>
      <w:r>
        <w:rPr>
          <w:spacing w:val="-4"/>
        </w:rPr>
        <w:t>Ley.</w:t>
      </w:r>
    </w:p>
    <w:p w14:paraId="2F34DA5A" w14:textId="77777777" w:rsidR="00B20529" w:rsidRDefault="00B20529">
      <w:pPr>
        <w:pStyle w:val="Textoindependiente"/>
      </w:pPr>
    </w:p>
    <w:p w14:paraId="19A9738F" w14:textId="77777777" w:rsidR="00B20529" w:rsidRDefault="00000000">
      <w:pPr>
        <w:pStyle w:val="Textoindependiente"/>
        <w:ind w:left="120" w:right="144"/>
        <w:jc w:val="both"/>
      </w:pPr>
      <w:r>
        <w:t>El artículo 13 sobre la información pública, dispone que se entiende por información pública los contenidos o documentos, cualquiera que sea su formato o soporte, que obren en poder de alguno de los sujetos incluidos en el ámbito de aplicación de este título y que hayan sido elaborados o adquiridos en el ejercicio de sus funciones.</w:t>
      </w:r>
    </w:p>
    <w:p w14:paraId="14C2E5A8" w14:textId="359FAB3F" w:rsidR="00B20529" w:rsidRDefault="00000000">
      <w:pPr>
        <w:pStyle w:val="Textoindependiente"/>
        <w:spacing w:before="252"/>
        <w:ind w:left="120" w:right="144" w:firstLine="696"/>
        <w:jc w:val="both"/>
      </w:pPr>
      <w:r>
        <w:t xml:space="preserve">Constando en el expediente el informe solicitado con código de validación </w:t>
      </w:r>
      <w:r w:rsidR="00557C13">
        <w:t>*************.</w:t>
      </w:r>
    </w:p>
    <w:p w14:paraId="13F1140F" w14:textId="77777777" w:rsidR="00B20529" w:rsidRDefault="00B20529">
      <w:pPr>
        <w:pStyle w:val="Textoindependiente"/>
        <w:spacing w:before="1"/>
      </w:pPr>
    </w:p>
    <w:p w14:paraId="229B3581" w14:textId="77777777" w:rsidR="00B20529" w:rsidRDefault="00000000">
      <w:pPr>
        <w:pStyle w:val="Textoindependiente"/>
        <w:ind w:left="119" w:right="114" w:firstLine="696"/>
        <w:jc w:val="both"/>
      </w:pPr>
      <w:r>
        <w:t xml:space="preserve">De conformidad con lo establecido en los artículos 17.1 y 20 de la Ley 19/2013, de 9 de diciembre, de Transparencia, Acceso a la Información Pública y Buen Gobierno y el artículo 21.1.s) de la Ley 7/1985, de 2 de abril, Reguladora de las Bases del Régimen Local, Decreto 04/2024 de Delegación de competencias del </w:t>
      </w:r>
      <w:proofErr w:type="gramStart"/>
      <w:r>
        <w:t>Concejal</w:t>
      </w:r>
      <w:proofErr w:type="gramEnd"/>
      <w:r>
        <w:t>-Delegado de Hacienda y Fiestas, D. Enrique González Gutiérrez.</w:t>
      </w:r>
    </w:p>
    <w:p w14:paraId="3760563A" w14:textId="77777777" w:rsidR="00B20529" w:rsidRDefault="00B20529">
      <w:pPr>
        <w:pStyle w:val="Textoindependiente"/>
        <w:spacing w:before="130"/>
      </w:pPr>
    </w:p>
    <w:p w14:paraId="05D8CA0A" w14:textId="0430EAB6" w:rsidR="00B20529" w:rsidRDefault="00000000">
      <w:pPr>
        <w:pStyle w:val="Textoindependiente"/>
        <w:ind w:left="119" w:right="209" w:firstLine="708"/>
        <w:jc w:val="both"/>
      </w:pPr>
      <w:proofErr w:type="gramStart"/>
      <w:r>
        <w:t>PRIMERO.-</w:t>
      </w:r>
      <w:proofErr w:type="gramEnd"/>
      <w:r>
        <w:t xml:space="preserve"> Conceder el acceso a la información solicitada que se concreta en dar traslado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interesada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contenido</w:t>
      </w:r>
      <w:r>
        <w:rPr>
          <w:spacing w:val="40"/>
        </w:rPr>
        <w:t xml:space="preserve"> </w:t>
      </w:r>
      <w:r>
        <w:t>íntegro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informe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Seguro</w:t>
      </w:r>
      <w:r>
        <w:rPr>
          <w:spacing w:val="40"/>
        </w:rPr>
        <w:t xml:space="preserve"> </w:t>
      </w:r>
      <w:r>
        <w:t>de Validación</w:t>
      </w:r>
      <w:r w:rsidR="00557C13">
        <w:t xml:space="preserve"> ***************</w:t>
      </w:r>
      <w:r>
        <w:t xml:space="preserve"> que figura en el expediente de aprobación definitiva del expediente de modificación de la Ordenanza Fiscal General de Gestión, Recaudación e Inspección y de las Ordenanzas Fiscales reguladoras de tributos.</w:t>
      </w:r>
    </w:p>
    <w:p w14:paraId="68CB8260" w14:textId="77777777" w:rsidR="00B20529" w:rsidRDefault="00B20529">
      <w:pPr>
        <w:jc w:val="both"/>
        <w:sectPr w:rsidR="00B20529">
          <w:headerReference w:type="default" r:id="rId6"/>
          <w:footerReference w:type="default" r:id="rId7"/>
          <w:type w:val="continuous"/>
          <w:pgSz w:w="11910" w:h="16840"/>
          <w:pgMar w:top="1720" w:right="1280" w:bottom="1280" w:left="1300" w:header="567" w:footer="1080" w:gutter="0"/>
          <w:pgNumType w:start="1"/>
          <w:cols w:space="720"/>
        </w:sectPr>
      </w:pPr>
    </w:p>
    <w:p w14:paraId="6255852C" w14:textId="055F0C90" w:rsidR="00B20529" w:rsidRDefault="00B20529">
      <w:pPr>
        <w:pStyle w:val="Textoindependiente"/>
      </w:pPr>
    </w:p>
    <w:p w14:paraId="05E2E332" w14:textId="77777777" w:rsidR="00B20529" w:rsidRDefault="00B20529">
      <w:pPr>
        <w:pStyle w:val="Textoindependiente"/>
        <w:spacing w:before="82"/>
      </w:pPr>
    </w:p>
    <w:p w14:paraId="6C32B274" w14:textId="7951994A" w:rsidR="00B20529" w:rsidRDefault="00000000">
      <w:pPr>
        <w:pStyle w:val="Textoindependiente"/>
        <w:ind w:left="120" w:right="208" w:firstLine="708"/>
        <w:jc w:val="both"/>
      </w:pPr>
      <w:proofErr w:type="gramStart"/>
      <w:r>
        <w:t>SEGUNDO.-</w:t>
      </w:r>
      <w:proofErr w:type="gramEnd"/>
      <w:r>
        <w:t xml:space="preserve"> Notificar la presente al interesado, remitiendo adjunto el informe solicitado, indicando que contra la misma podrá interponerse con carácter potestativo en el plazo de un mes, a contar de fecha a fecha desde el siguiente a la notificación, una reclamación ante el Consejo de Transparencia y Buen Gobierno. El plazo máximo para dictar y notificar la resolución de esta reclamación será de tres meses, entendiéndose desestimada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recaído</w:t>
      </w:r>
      <w:r>
        <w:rPr>
          <w:spacing w:val="-3"/>
        </w:rPr>
        <w:t xml:space="preserve"> </w:t>
      </w:r>
      <w:r>
        <w:t>aquélla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plazo.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 resolución</w:t>
      </w:r>
      <w:r>
        <w:rPr>
          <w:spacing w:val="-2"/>
        </w:rPr>
        <w:t xml:space="preserve"> </w:t>
      </w:r>
      <w:r>
        <w:t>expresa o presunta de la reclamación potestativa podrá interponerse el recurso contencioso- administrativo ante el Juzgado Central de reparto de lo contencioso-administrativo, en el plazo de dos meses o seis meses, respectivamente, a contar desde el día siguiente a la notificación del acto o desde el día siguiente a aquél en que, de acuerdo con su normativa específica, se produzca el acto presunto”</w:t>
      </w:r>
      <w:r w:rsidR="00557C13">
        <w:t>.</w:t>
      </w:r>
    </w:p>
    <w:p w14:paraId="6FF4FC4E" w14:textId="77777777" w:rsidR="00B20529" w:rsidRDefault="00B20529">
      <w:pPr>
        <w:pStyle w:val="Textoindependiente"/>
      </w:pPr>
    </w:p>
    <w:p w14:paraId="24803965" w14:textId="77777777" w:rsidR="00B20529" w:rsidRDefault="00B20529">
      <w:pPr>
        <w:pStyle w:val="Textoindependiente"/>
        <w:spacing w:before="194"/>
      </w:pPr>
    </w:p>
    <w:p w14:paraId="6626914F" w14:textId="77777777" w:rsidR="00B20529" w:rsidRDefault="00000000">
      <w:pPr>
        <w:ind w:right="17"/>
        <w:jc w:val="center"/>
        <w:rPr>
          <w:b/>
          <w:sz w:val="20"/>
        </w:rPr>
      </w:pPr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B20529">
      <w:pgSz w:w="11910" w:h="16840"/>
      <w:pgMar w:top="1720" w:right="128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F9B6" w14:textId="77777777" w:rsidR="00EE0890" w:rsidRDefault="00EE0890">
      <w:r>
        <w:separator/>
      </w:r>
    </w:p>
  </w:endnote>
  <w:endnote w:type="continuationSeparator" w:id="0">
    <w:p w14:paraId="30514585" w14:textId="77777777" w:rsidR="00EE0890" w:rsidRDefault="00EE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BFB" w14:textId="7EC061B9" w:rsidR="00B2052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35A004FE" wp14:editId="35720579">
              <wp:simplePos x="0" y="0"/>
              <wp:positionH relativeFrom="page">
                <wp:posOffset>900430</wp:posOffset>
              </wp:positionH>
              <wp:positionV relativeFrom="page">
                <wp:posOffset>9940935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CEB99" id="Graphic 3" o:spid="_x0000_s1026" style="position:absolute;margin-left:70.9pt;margin-top:782.75pt;width:453.55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B1ySBS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34E0271" wp14:editId="22C08810">
              <wp:simplePos x="0" y="0"/>
              <wp:positionH relativeFrom="page">
                <wp:posOffset>2009139</wp:posOffset>
              </wp:positionH>
              <wp:positionV relativeFrom="page">
                <wp:posOffset>10075587</wp:posOffset>
              </wp:positionV>
              <wp:extent cx="3543300" cy="2698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F3B26" w14:textId="77777777" w:rsidR="00B20529" w:rsidRDefault="00000000">
                          <w:pPr>
                            <w:spacing w:before="14" w:line="207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717CD819" w14:textId="77777777" w:rsidR="00B20529" w:rsidRDefault="0000000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E027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8.2pt;margin-top:793.35pt;width:279pt;height:21.2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" filled="f" stroked="f">
              <v:textbox inset="0,0,0,0">
                <w:txbxContent>
                  <w:p w14:paraId="24AF3B26" w14:textId="77777777" w:rsidR="00B20529" w:rsidRDefault="00000000">
                    <w:pPr>
                      <w:spacing w:before="14" w:line="207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717CD819" w14:textId="77777777" w:rsidR="00B20529" w:rsidRDefault="0000000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C2C9" w14:textId="77777777" w:rsidR="00EE0890" w:rsidRDefault="00EE0890">
      <w:r>
        <w:separator/>
      </w:r>
    </w:p>
  </w:footnote>
  <w:footnote w:type="continuationSeparator" w:id="0">
    <w:p w14:paraId="5852F23E" w14:textId="77777777" w:rsidR="00EE0890" w:rsidRDefault="00EE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2B46" w14:textId="77777777" w:rsidR="00B2052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7D1CB5A0" wp14:editId="5170C3B8">
          <wp:simplePos x="0" y="0"/>
          <wp:positionH relativeFrom="page">
            <wp:posOffset>998108</wp:posOffset>
          </wp:positionH>
          <wp:positionV relativeFrom="page">
            <wp:posOffset>360054</wp:posOffset>
          </wp:positionV>
          <wp:extent cx="506707" cy="695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07" cy="695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29"/>
    <w:rsid w:val="00557C13"/>
    <w:rsid w:val="00B20529"/>
    <w:rsid w:val="00E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E731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7C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C1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7C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C1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2025-02-03T12:13:00Z</dcterms:created>
  <dcterms:modified xsi:type="dcterms:W3CDTF">2025-02-03T12:13:00Z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