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0298" w14:textId="77777777" w:rsidR="0042786D" w:rsidRDefault="0042786D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kern w:val="0"/>
          <w:lang w:eastAsia="zh-CN" w:bidi="hi-IN"/>
          <w14:ligatures w14:val="none"/>
        </w:rPr>
      </w:pPr>
    </w:p>
    <w:p w14:paraId="22467D5B" w14:textId="77777777" w:rsidR="00A811E1" w:rsidRPr="0051578B" w:rsidRDefault="00A811E1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kern w:val="0"/>
          <w:lang w:eastAsia="zh-CN" w:bidi="hi-IN"/>
          <w14:ligatures w14:val="none"/>
        </w:rPr>
      </w:pPr>
    </w:p>
    <w:p w14:paraId="1B5440FC" w14:textId="30EC2F8D" w:rsidR="0042786D" w:rsidRDefault="0042786D" w:rsidP="00AE5F1B">
      <w:pPr>
        <w:spacing w:after="0" w:line="240" w:lineRule="auto"/>
        <w:ind w:right="1663"/>
        <w:jc w:val="center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  <w:r w:rsidRPr="0051578B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INFORME </w:t>
      </w:r>
      <w:r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>UNIDAD TRANSPARENCIA</w:t>
      </w:r>
    </w:p>
    <w:p w14:paraId="581B6C85" w14:textId="77777777" w:rsidR="00AE5F1B" w:rsidRPr="0051578B" w:rsidRDefault="00AE5F1B" w:rsidP="00AE5F1B">
      <w:pPr>
        <w:spacing w:after="0" w:line="240" w:lineRule="auto"/>
        <w:ind w:right="1663"/>
        <w:jc w:val="center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</w:p>
    <w:p w14:paraId="0A4DCD21" w14:textId="77777777" w:rsidR="0042786D" w:rsidRDefault="0042786D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</w:p>
    <w:p w14:paraId="12EC9E62" w14:textId="77777777" w:rsidR="00A811E1" w:rsidRPr="008E50F3" w:rsidRDefault="00A811E1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</w:p>
    <w:p w14:paraId="1A8DEADF" w14:textId="52A13C58" w:rsidR="0042786D" w:rsidRDefault="0042786D" w:rsidP="00513E28">
      <w:pPr>
        <w:spacing w:after="0" w:line="240" w:lineRule="auto"/>
        <w:ind w:right="-35"/>
        <w:jc w:val="both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  <w:r w:rsidRPr="008E50F3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ASUNTO: </w:t>
      </w:r>
      <w:r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>INFORME</w:t>
      </w:r>
      <w:r w:rsidR="00A51670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 SOBRE</w:t>
      </w:r>
      <w:r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 </w:t>
      </w:r>
      <w:r w:rsidR="00A51670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QUEJAS, SUGERENCIAS, RECLAMACIONES Y FELICITACIONES </w:t>
      </w:r>
      <w:r w:rsidR="004F47BD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DURANTE EL EJERCICIO 2024 </w:t>
      </w:r>
    </w:p>
    <w:p w14:paraId="0871EDDD" w14:textId="77777777" w:rsidR="0042786D" w:rsidRDefault="0042786D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</w:p>
    <w:p w14:paraId="2F90EA89" w14:textId="77777777" w:rsidR="0042786D" w:rsidRPr="0051578B" w:rsidRDefault="0042786D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kern w:val="0"/>
          <w:lang w:eastAsia="zh-CN" w:bidi="hi-IN"/>
          <w14:ligatures w14:val="none"/>
        </w:rPr>
      </w:pPr>
    </w:p>
    <w:p w14:paraId="65825273" w14:textId="18D44780" w:rsidR="0042786D" w:rsidRPr="0051578B" w:rsidRDefault="0042786D" w:rsidP="00D54210">
      <w:pPr>
        <w:spacing w:after="0" w:line="240" w:lineRule="auto"/>
        <w:ind w:right="-1" w:firstLine="708"/>
        <w:jc w:val="both"/>
        <w:rPr>
          <w:rFonts w:ascii="Arial" w:eastAsia="DejaVu Sans" w:hAnsi="Arial" w:cs="Arial"/>
          <w:kern w:val="0"/>
          <w:lang w:eastAsia="zh-CN" w:bidi="hi-IN"/>
          <w14:ligatures w14:val="none"/>
        </w:rPr>
      </w:pPr>
      <w:r w:rsidRPr="0051578B"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D. </w:t>
      </w:r>
      <w:r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Juan de Dios </w:t>
      </w:r>
      <w:r w:rsidR="00AE5F1B">
        <w:rPr>
          <w:rFonts w:ascii="Arial" w:eastAsia="DejaVu Sans" w:hAnsi="Arial" w:cs="Arial"/>
          <w:kern w:val="0"/>
          <w:lang w:eastAsia="zh-CN" w:bidi="hi-IN"/>
          <w14:ligatures w14:val="none"/>
        </w:rPr>
        <w:t>García Aybar</w:t>
      </w:r>
      <w:r w:rsidR="00743860">
        <w:rPr>
          <w:rFonts w:ascii="Arial" w:eastAsia="DejaVu Sans" w:hAnsi="Arial" w:cs="Arial"/>
          <w:kern w:val="0"/>
          <w:lang w:eastAsia="zh-CN" w:bidi="hi-IN"/>
          <w14:ligatures w14:val="none"/>
        </w:rPr>
        <w:t>,</w:t>
      </w:r>
      <w:r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 </w:t>
      </w:r>
      <w:r w:rsidR="004F47BD"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en calidad de </w:t>
      </w:r>
      <w:proofErr w:type="gramStart"/>
      <w:r>
        <w:rPr>
          <w:rFonts w:ascii="Arial" w:eastAsia="DejaVu Sans" w:hAnsi="Arial" w:cs="Arial"/>
          <w:kern w:val="0"/>
          <w:lang w:eastAsia="zh-CN" w:bidi="hi-IN"/>
          <w14:ligatures w14:val="none"/>
        </w:rPr>
        <w:t>Jefe</w:t>
      </w:r>
      <w:proofErr w:type="gramEnd"/>
      <w:r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 de Unidad de Transparencia</w:t>
      </w:r>
      <w:r w:rsidR="00AE5F1B"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 del Ayuntamiento de Las Rozas de Madrid</w:t>
      </w:r>
      <w:r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, </w:t>
      </w:r>
      <w:r w:rsidRPr="0051578B">
        <w:rPr>
          <w:rFonts w:ascii="Arial" w:eastAsia="DejaVu Sans" w:hAnsi="Arial" w:cs="Arial"/>
          <w:kern w:val="0"/>
          <w:lang w:eastAsia="zh-CN" w:bidi="hi-IN"/>
          <w14:ligatures w14:val="none"/>
        </w:rPr>
        <w:t>inform</w:t>
      </w:r>
      <w:r w:rsidR="00C448D7">
        <w:rPr>
          <w:rFonts w:ascii="Arial" w:eastAsia="DejaVu Sans" w:hAnsi="Arial" w:cs="Arial"/>
          <w:kern w:val="0"/>
          <w:lang w:eastAsia="zh-CN" w:bidi="hi-IN"/>
          <w14:ligatures w14:val="none"/>
        </w:rPr>
        <w:t>a</w:t>
      </w:r>
      <w:r w:rsidR="004F47BD"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 lo siguiente:</w:t>
      </w:r>
    </w:p>
    <w:p w14:paraId="25DB4F37" w14:textId="3F8E18CC" w:rsidR="0042786D" w:rsidRDefault="00AE5F1B" w:rsidP="004A44C0">
      <w:pPr>
        <w:tabs>
          <w:tab w:val="left" w:pos="526"/>
          <w:tab w:val="center" w:pos="3420"/>
        </w:tabs>
        <w:spacing w:after="0" w:line="240" w:lineRule="auto"/>
        <w:ind w:right="1663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  <w:r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ab/>
      </w:r>
      <w:r w:rsidR="00A51670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 xml:space="preserve">             </w:t>
      </w:r>
    </w:p>
    <w:p w14:paraId="1A34CFAB" w14:textId="77777777" w:rsidR="00A51670" w:rsidRPr="007448C9" w:rsidRDefault="00A51670" w:rsidP="00D54210">
      <w:pPr>
        <w:spacing w:after="0" w:line="240" w:lineRule="auto"/>
        <w:ind w:right="1663"/>
        <w:jc w:val="both"/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</w:pPr>
    </w:p>
    <w:p w14:paraId="19CDF7E2" w14:textId="1B4DFC63" w:rsidR="00AB17B2" w:rsidRDefault="0042786D" w:rsidP="004F47BD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  <w:r w:rsidRPr="007448C9">
        <w:rPr>
          <w:rFonts w:ascii="Arial" w:eastAsia="DejaVu Sans" w:hAnsi="Arial" w:cs="Arial"/>
          <w:b/>
          <w:bCs/>
          <w:kern w:val="0"/>
          <w:lang w:eastAsia="zh-CN" w:bidi="hi-IN"/>
          <w14:ligatures w14:val="none"/>
        </w:rPr>
        <w:t>PRIMERO.</w:t>
      </w:r>
      <w:r w:rsidRPr="0051578B">
        <w:rPr>
          <w:rFonts w:ascii="Arial" w:eastAsia="DejaVu Sans" w:hAnsi="Arial" w:cs="Arial"/>
          <w:kern w:val="0"/>
          <w:lang w:eastAsia="zh-CN" w:bidi="hi-IN"/>
          <w14:ligatures w14:val="none"/>
        </w:rPr>
        <w:t xml:space="preserve"> </w:t>
      </w:r>
      <w:r w:rsidR="00A51670" w:rsidRPr="00A51670">
        <w:rPr>
          <w:rFonts w:ascii="Helvetica" w:eastAsia="Times New Roman" w:hAnsi="Helvetica" w:cs="Helvetica"/>
          <w:b/>
          <w:bCs/>
          <w14:ligatures w14:val="none"/>
        </w:rPr>
        <w:t>C</w:t>
      </w:r>
      <w:r w:rsidR="00AB17B2">
        <w:rPr>
          <w:rFonts w:ascii="Helvetica" w:eastAsia="Times New Roman" w:hAnsi="Helvetica" w:cs="Helvetica"/>
          <w:b/>
          <w:bCs/>
          <w14:ligatures w14:val="none"/>
        </w:rPr>
        <w:t>ompetencia</w:t>
      </w:r>
      <w:r w:rsidR="00A51670" w:rsidRPr="00A51670">
        <w:rPr>
          <w:rFonts w:ascii="Helvetica" w:eastAsia="Times New Roman" w:hAnsi="Helvetica" w:cs="Helvetica"/>
          <w:b/>
          <w:bCs/>
          <w14:ligatures w14:val="none"/>
        </w:rPr>
        <w:t>.</w:t>
      </w:r>
      <w:r w:rsidR="00A51670">
        <w:rPr>
          <w:rFonts w:ascii="Helvetica" w:eastAsia="Times New Roman" w:hAnsi="Helvetica" w:cs="Helvetica"/>
          <w14:ligatures w14:val="none"/>
        </w:rPr>
        <w:t xml:space="preserve"> </w:t>
      </w:r>
    </w:p>
    <w:p w14:paraId="04544583" w14:textId="77777777" w:rsidR="00AB17B2" w:rsidRDefault="00AB17B2" w:rsidP="004F47BD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093E32DE" w14:textId="6DDE1ED6" w:rsidR="00743860" w:rsidRDefault="00021257" w:rsidP="004F47BD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  <w:r w:rsidRPr="00D54210">
        <w:rPr>
          <w:rFonts w:ascii="Helvetica" w:eastAsia="Times New Roman" w:hAnsi="Helvetica" w:cs="Helvetica"/>
          <w14:ligatures w14:val="none"/>
        </w:rPr>
        <w:t xml:space="preserve">La Unidad de Transparencia </w:t>
      </w:r>
      <w:r w:rsidR="004F47BD">
        <w:rPr>
          <w:rFonts w:ascii="Helvetica" w:eastAsia="Times New Roman" w:hAnsi="Helvetica" w:cs="Helvetica"/>
          <w14:ligatures w14:val="none"/>
        </w:rPr>
        <w:t xml:space="preserve">del Ayuntamiento de Las Rozas de Madrid </w:t>
      </w:r>
      <w:r w:rsidR="00AE5F1B">
        <w:rPr>
          <w:rFonts w:ascii="Helvetica" w:eastAsia="Times New Roman" w:hAnsi="Helvetica" w:cs="Helvetica"/>
          <w14:ligatures w14:val="none"/>
        </w:rPr>
        <w:t>es</w:t>
      </w:r>
      <w:r w:rsidRPr="00D54210">
        <w:rPr>
          <w:rFonts w:ascii="Helvetica" w:eastAsia="Times New Roman" w:hAnsi="Helvetica" w:cs="Helvetica"/>
          <w14:ligatures w14:val="none"/>
        </w:rPr>
        <w:t xml:space="preserve"> la encargada de instruir las sugerencias, felicitaciones, quejas y reclamaciones que estén dentro </w:t>
      </w:r>
      <w:r w:rsidR="004F47BD">
        <w:rPr>
          <w:rFonts w:ascii="Helvetica" w:eastAsia="Times New Roman" w:hAnsi="Helvetica" w:cs="Helvetica"/>
          <w14:ligatures w14:val="none"/>
        </w:rPr>
        <w:t>de su ámbito de aplicación.</w:t>
      </w:r>
    </w:p>
    <w:p w14:paraId="1F40038A" w14:textId="77777777" w:rsidR="00AB17B2" w:rsidRDefault="00AB17B2" w:rsidP="004F47BD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3433417D" w14:textId="77777777" w:rsidR="00AE5F1B" w:rsidRDefault="00AE5F1B" w:rsidP="004F47BD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74D5D6D0" w14:textId="662B430A" w:rsidR="00AB17B2" w:rsidRPr="00AB17B2" w:rsidRDefault="00AB17B2" w:rsidP="00AB17B2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:b/>
          <w:bCs/>
          <w14:ligatures w14:val="none"/>
        </w:rPr>
      </w:pPr>
      <w:r w:rsidRPr="00AB17B2">
        <w:rPr>
          <w:rFonts w:ascii="Helvetica" w:eastAsia="Times New Roman" w:hAnsi="Helvetica" w:cs="Helvetica"/>
          <w:b/>
          <w:bCs/>
          <w14:ligatures w14:val="none"/>
        </w:rPr>
        <w:t xml:space="preserve">SEGUNDO. Estado de gestión. </w:t>
      </w:r>
    </w:p>
    <w:p w14:paraId="377272B0" w14:textId="77777777" w:rsidR="00AB17B2" w:rsidRDefault="00AB17B2" w:rsidP="00AB17B2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5F6A4086" w14:textId="33CB0439" w:rsidR="00AB17B2" w:rsidRDefault="00AB17B2" w:rsidP="00AB17B2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  <w:r>
        <w:rPr>
          <w:rFonts w:ascii="Helvetica" w:eastAsia="Times New Roman" w:hAnsi="Helvetica" w:cs="Helvetica"/>
          <w14:ligatures w14:val="none"/>
        </w:rPr>
        <w:t xml:space="preserve">En el período comprendido entre el 1 de enero y el 31 de diciembre de 2024 han tenido entrada un total de </w:t>
      </w:r>
      <w:r w:rsidRPr="00AB17B2">
        <w:rPr>
          <w:rFonts w:ascii="Helvetica" w:eastAsia="Times New Roman" w:hAnsi="Helvetica" w:cs="Helvetica"/>
          <w:b/>
          <w:bCs/>
          <w14:ligatures w14:val="none"/>
        </w:rPr>
        <w:t>186</w:t>
      </w:r>
      <w:r>
        <w:rPr>
          <w:rFonts w:ascii="Helvetica" w:eastAsia="Times New Roman" w:hAnsi="Helvetica" w:cs="Helvetica"/>
          <w14:ligatures w14:val="none"/>
        </w:rPr>
        <w:t xml:space="preserve"> quejas, sugerencias, reclamaciones y felicitaciones, a través de diferentes medios, tales como presenciales, en la sede del Consistorio Municipal, como vía digital, mediante la Sede Electrónica del Ayuntamiento. Del número global antes referido han sido resueltas </w:t>
      </w:r>
      <w:r w:rsidRPr="00AB17B2">
        <w:rPr>
          <w:rFonts w:ascii="Helvetica" w:eastAsia="Times New Roman" w:hAnsi="Helvetica" w:cs="Helvetica"/>
          <w:b/>
          <w:bCs/>
          <w14:ligatures w14:val="none"/>
        </w:rPr>
        <w:t>104</w:t>
      </w:r>
      <w:r>
        <w:rPr>
          <w:rFonts w:ascii="Helvetica" w:eastAsia="Times New Roman" w:hAnsi="Helvetica" w:cs="Helvetica"/>
          <w14:ligatures w14:val="none"/>
        </w:rPr>
        <w:t xml:space="preserve">, quedando a fecha 31 de diciembre de 2024 un total de </w:t>
      </w:r>
      <w:r w:rsidRPr="00AB17B2">
        <w:rPr>
          <w:rFonts w:ascii="Helvetica" w:eastAsia="Times New Roman" w:hAnsi="Helvetica" w:cs="Helvetica"/>
          <w:b/>
          <w:bCs/>
          <w14:ligatures w14:val="none"/>
        </w:rPr>
        <w:t>82</w:t>
      </w:r>
      <w:r>
        <w:rPr>
          <w:rFonts w:ascii="Helvetica" w:eastAsia="Times New Roman" w:hAnsi="Helvetica" w:cs="Helvetica"/>
          <w14:ligatures w14:val="none"/>
        </w:rPr>
        <w:t xml:space="preserve"> pendientes de resolver.</w:t>
      </w:r>
    </w:p>
    <w:p w14:paraId="68FBC9FA" w14:textId="77777777" w:rsidR="00AB17B2" w:rsidRDefault="00AB17B2" w:rsidP="00AB17B2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7675C39A" w14:textId="77777777" w:rsidR="00AE5F1B" w:rsidRDefault="00AE5F1B" w:rsidP="00AB17B2">
      <w:pPr>
        <w:spacing w:after="0" w:line="240" w:lineRule="auto"/>
        <w:ind w:right="-1" w:firstLine="708"/>
        <w:jc w:val="both"/>
        <w:rPr>
          <w:rFonts w:ascii="Helvetica" w:eastAsia="Times New Roman" w:hAnsi="Helvetica" w:cs="Helvetica"/>
          <w14:ligatures w14:val="none"/>
        </w:rPr>
      </w:pPr>
    </w:p>
    <w:p w14:paraId="0216B0D7" w14:textId="53F3D571" w:rsidR="00AB17B2" w:rsidRDefault="00AB17B2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/>
          <w:kern w:val="0"/>
          <w:lang w:eastAsia="es-ES"/>
          <w14:ligatures w14:val="none"/>
        </w:rPr>
        <w:t xml:space="preserve">TERCERO. Análisis pormenorizado de las quejas, sugerencias reclamaciones y felicitaciones durante el año 2024. </w:t>
      </w:r>
    </w:p>
    <w:p w14:paraId="397B0BFA" w14:textId="77777777" w:rsidR="00AB17B2" w:rsidRDefault="00AB17B2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/>
          <w:kern w:val="0"/>
          <w:lang w:eastAsia="es-ES"/>
          <w14:ligatures w14:val="none"/>
        </w:rPr>
      </w:pPr>
    </w:p>
    <w:p w14:paraId="203ECCA2" w14:textId="5A1CD081" w:rsidR="00AB17B2" w:rsidRDefault="00AB17B2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Desde el 1 de enero hasta el 31 de diciembre de 2024</w:t>
      </w:r>
      <w:r w:rsidR="003433CA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, tal y como se ha referido en el punto anterior, han entrado 186 quejas, sugerencias, reclamaciones y felicitaciones. Estas instancias se pueden desglosar de la siguiente manera:</w:t>
      </w:r>
    </w:p>
    <w:p w14:paraId="73A50802" w14:textId="77777777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00BA8363" w14:textId="13A9349D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a) Quejas: 152.</w:t>
      </w:r>
    </w:p>
    <w:p w14:paraId="026D9360" w14:textId="69D05DED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b) Sugerencias: 22.</w:t>
      </w:r>
    </w:p>
    <w:p w14:paraId="76766F7C" w14:textId="79BAB7B0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c) Felicitaciones: 16.</w:t>
      </w:r>
    </w:p>
    <w:p w14:paraId="44357E58" w14:textId="77777777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5D0040C3" w14:textId="7837118A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Como se puede comprobar el número total, una vez efectuado el desglose (190), no coincide con el indicado en el punto anterior (186). Esto es debido a que en algunos casos los vecinos presentan escritos que simultáneamente han de ser considerados como queja y sugerencia.</w:t>
      </w:r>
    </w:p>
    <w:p w14:paraId="4EAFFBBC" w14:textId="77777777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E51A304" w14:textId="77777777" w:rsidR="00A811E1" w:rsidRDefault="00A811E1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A9A3DAB" w14:textId="77777777" w:rsidR="00A811E1" w:rsidRDefault="00A811E1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6E6AC0E8" w14:textId="77777777" w:rsidR="00A811E1" w:rsidRDefault="00A811E1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50A742E2" w14:textId="77777777" w:rsidR="00A811E1" w:rsidRDefault="00A811E1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0B6379DA" w14:textId="123CDFC0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noProof/>
          <w:kern w:val="0"/>
          <w:lang w:eastAsia="es-ES"/>
        </w:rPr>
        <w:drawing>
          <wp:anchor distT="0" distB="0" distL="114300" distR="114300" simplePos="0" relativeHeight="251660288" behindDoc="0" locked="0" layoutInCell="1" allowOverlap="1" wp14:anchorId="0C355A0F" wp14:editId="090B2612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5400040" cy="3150235"/>
            <wp:effectExtent l="0" t="0" r="10160" b="12065"/>
            <wp:wrapSquare wrapText="bothSides"/>
            <wp:docPr id="78392276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2C7DEBD3" w14:textId="77777777" w:rsidR="003433CA" w:rsidRDefault="003433CA" w:rsidP="00AB17B2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6B76D36A" w14:textId="471EE739" w:rsidR="006253D8" w:rsidRPr="003433CA" w:rsidRDefault="006253D8" w:rsidP="003433CA">
      <w:pPr>
        <w:pStyle w:val="Default"/>
        <w:jc w:val="both"/>
        <w:rPr>
          <w:rFonts w:ascii="Helvetica" w:eastAsia="Times New Roman" w:hAnsi="Helvetica" w:cs="Helvetica"/>
          <w:color w:val="auto"/>
          <w:sz w:val="22"/>
          <w:szCs w:val="22"/>
          <w14:ligatures w14:val="none"/>
        </w:rPr>
      </w:pPr>
    </w:p>
    <w:p w14:paraId="09DCF416" w14:textId="1DD11908" w:rsidR="00234027" w:rsidRDefault="00234027" w:rsidP="006D3DE1">
      <w:pPr>
        <w:spacing w:after="0" w:line="240" w:lineRule="auto"/>
        <w:ind w:firstLine="360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Analizando</w:t>
      </w:r>
      <w:r w:rsidR="003433CA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igualmente</w:t>
      </w: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las áreas afectadas se concluye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,</w:t>
      </w: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en síntesis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,</w:t>
      </w: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la siguiente distribución: </w:t>
      </w:r>
    </w:p>
    <w:p w14:paraId="44BDC2DE" w14:textId="77777777" w:rsidR="006253D8" w:rsidRPr="00E14DF7" w:rsidRDefault="006253D8" w:rsidP="00D54210">
      <w:p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583EC87" w14:textId="4BFAFF2E" w:rsidR="00D54210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Medioambiente</w:t>
      </w:r>
      <w:r w:rsidR="00D40741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y Servicios a la Ciudad</w:t>
      </w: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: </w:t>
      </w:r>
      <w:r w:rsidR="00D40741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54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13ED349D" w14:textId="77777777" w:rsidR="006253D8" w:rsidRPr="00E14DF7" w:rsidRDefault="006253D8" w:rsidP="006253D8">
      <w:pPr>
        <w:pStyle w:val="Prrafodelista"/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6EC7882C" w14:textId="608F3C33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Gestión Tributaria: </w:t>
      </w:r>
      <w:r w:rsidR="00D40741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62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5CB815D2" w14:textId="77777777" w:rsidR="006253D8" w:rsidRPr="00E14DF7" w:rsidRDefault="006253D8" w:rsidP="006253D8">
      <w:pPr>
        <w:pStyle w:val="Prrafodelista"/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230FEE6D" w14:textId="534A240E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Sanidad:</w:t>
      </w:r>
      <w:r w:rsidR="00D40741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2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7D53CB37" w14:textId="77777777" w:rsidR="006253D8" w:rsidRPr="00E14DF7" w:rsidRDefault="006253D8" w:rsidP="006253D8">
      <w:pPr>
        <w:pStyle w:val="Prrafodelista"/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5B83392" w14:textId="53FFC71D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Registro: </w:t>
      </w:r>
      <w:r w:rsidR="00D40741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11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3FB8F483" w14:textId="77777777" w:rsidR="006253D8" w:rsidRPr="004E5A26" w:rsidRDefault="006253D8" w:rsidP="004E5A26">
      <w:p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6EB562B8" w14:textId="15266513" w:rsidR="00234027" w:rsidRDefault="005630F3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Economía y </w:t>
      </w:r>
      <w:r w:rsidR="00234027"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Empleo: </w:t>
      </w: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1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0690957E" w14:textId="77777777" w:rsidR="006253D8" w:rsidRPr="00E14DF7" w:rsidRDefault="006253D8" w:rsidP="006253D8">
      <w:pPr>
        <w:pStyle w:val="Prrafodelista"/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663AECCF" w14:textId="71C5C9D0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Cultura: 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4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57FA4A68" w14:textId="3F38B103" w:rsidR="006253D8" w:rsidRPr="00E14DF7" w:rsidRDefault="006253D8" w:rsidP="006253D8">
      <w:pPr>
        <w:pStyle w:val="Prrafodelista"/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342EFA46" w14:textId="7F1D0754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Servicios Sociales 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15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084F18B3" w14:textId="77777777" w:rsidR="006253D8" w:rsidRPr="00D93E74" w:rsidRDefault="006253D8" w:rsidP="00D93E74">
      <w:p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3D6FCD20" w14:textId="720C19A6" w:rsidR="00234027" w:rsidRDefault="00234027" w:rsidP="0023402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 w:rsidRPr="00E14DF7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Oficina Digital: 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4</w:t>
      </w:r>
      <w:r w:rsidR="006253D8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61DB8A41" w14:textId="77777777" w:rsidR="005630F3" w:rsidRDefault="005630F3" w:rsidP="005630F3">
      <w:pPr>
        <w:spacing w:after="0" w:line="240" w:lineRule="auto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5774FA81" w14:textId="1DFC2254" w:rsidR="005630F3" w:rsidRDefault="005630F3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-      Deportes: 17.</w:t>
      </w:r>
    </w:p>
    <w:p w14:paraId="7A78E315" w14:textId="77777777" w:rsidR="005630F3" w:rsidRDefault="005630F3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788917A" w14:textId="07A8219A" w:rsidR="005630F3" w:rsidRDefault="005630F3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-      Infraestructuras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 y Obras</w:t>
      </w: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: </w:t>
      </w:r>
      <w:r w:rsidR="0075443E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1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2</w:t>
      </w: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171CC194" w14:textId="77777777" w:rsidR="005630F3" w:rsidRDefault="005630F3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04FE8DC4" w14:textId="464FA8DD" w:rsidR="005630F3" w:rsidRDefault="005630F3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-      Seguridad y Emergencias: </w:t>
      </w:r>
      <w:r w:rsidR="00D93E74"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4</w:t>
      </w: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.</w:t>
      </w:r>
    </w:p>
    <w:p w14:paraId="2739338B" w14:textId="77777777" w:rsidR="00D93E74" w:rsidRDefault="00D93E74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06AC1918" w14:textId="21D8A639" w:rsidR="00D93E74" w:rsidRDefault="00D93E74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>-      Consumo: 3.</w:t>
      </w:r>
    </w:p>
    <w:p w14:paraId="7A3746C4" w14:textId="77777777" w:rsidR="00D93E74" w:rsidRDefault="00D93E74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1CEA1BCD" w14:textId="77777777" w:rsidR="00A811E1" w:rsidRDefault="00A811E1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42023CB4" w14:textId="7EF1CA48" w:rsidR="00D93E74" w:rsidRDefault="00D93E74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  <w:r>
        <w:rPr>
          <w:rFonts w:ascii="Helvetica" w:eastAsia="Times New Roman" w:hAnsi="Helvetica" w:cs="Helvetica"/>
          <w:bCs/>
          <w:kern w:val="0"/>
          <w:lang w:eastAsia="es-ES"/>
          <w14:ligatures w14:val="none"/>
        </w:rPr>
        <w:t xml:space="preserve">-     Urbanismo: 2. </w:t>
      </w:r>
    </w:p>
    <w:p w14:paraId="488C0AFB" w14:textId="77777777" w:rsidR="004A44C0" w:rsidRPr="005630F3" w:rsidRDefault="004A44C0" w:rsidP="005630F3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bCs/>
          <w:kern w:val="0"/>
          <w:lang w:eastAsia="es-ES"/>
          <w14:ligatures w14:val="none"/>
        </w:rPr>
      </w:pPr>
    </w:p>
    <w:p w14:paraId="7E437EA3" w14:textId="77777777" w:rsidR="006253D8" w:rsidRDefault="006253D8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1775D8EF" w14:textId="04E93FB5" w:rsidR="00E639ED" w:rsidRDefault="00942D19" w:rsidP="00942D19">
      <w:pPr>
        <w:spacing w:after="0" w:line="240" w:lineRule="auto"/>
        <w:ind w:firstLine="708"/>
        <w:jc w:val="both"/>
        <w:rPr>
          <w:rFonts w:ascii="Helvetica" w:eastAsia="Times New Roman" w:hAnsi="Helvetica" w:cs="Helvetica"/>
          <w:kern w:val="0"/>
          <w14:ligatures w14:val="none"/>
        </w:rPr>
      </w:pPr>
      <w:r>
        <w:rPr>
          <w:rFonts w:ascii="Helvetica" w:eastAsia="Times New Roman" w:hAnsi="Helvetica" w:cs="Helvetica"/>
          <w:kern w:val="0"/>
          <w14:ligatures w14:val="none"/>
        </w:rPr>
        <w:t>Desglose</w:t>
      </w:r>
      <w:r w:rsidR="00E639ED">
        <w:rPr>
          <w:rFonts w:ascii="Helvetica" w:eastAsia="Times New Roman" w:hAnsi="Helvetica" w:cs="Helvetica"/>
          <w:kern w:val="0"/>
          <w14:ligatures w14:val="none"/>
        </w:rPr>
        <w:t xml:space="preserve"> por </w:t>
      </w:r>
      <w:r w:rsidR="004A44C0">
        <w:rPr>
          <w:rFonts w:ascii="Helvetica" w:eastAsia="Times New Roman" w:hAnsi="Helvetica" w:cs="Helvetica"/>
          <w:kern w:val="0"/>
          <w14:ligatures w14:val="none"/>
        </w:rPr>
        <w:t>áreas</w:t>
      </w:r>
      <w:r w:rsidR="00E639ED">
        <w:rPr>
          <w:rFonts w:ascii="Helvetica" w:eastAsia="Times New Roman" w:hAnsi="Helvetica" w:cs="Helvetica"/>
          <w:kern w:val="0"/>
          <w14:ligatures w14:val="none"/>
        </w:rPr>
        <w:t>:</w:t>
      </w:r>
    </w:p>
    <w:p w14:paraId="238662EA" w14:textId="77777777" w:rsidR="004A44C0" w:rsidRDefault="004A44C0" w:rsidP="006D3DE1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07B429B5" w14:textId="77777777" w:rsidR="00D93E74" w:rsidRDefault="00D93E74" w:rsidP="006D3DE1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054E1B7E" w14:textId="023F6181" w:rsidR="00D93E74" w:rsidRDefault="004A44C0" w:rsidP="00BA646F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  <w:r>
        <w:rPr>
          <w:rFonts w:ascii="Helvetica" w:eastAsia="Times New Roman" w:hAnsi="Helvetica" w:cs="Helvetica"/>
          <w:noProof/>
          <w:kern w:val="0"/>
        </w:rPr>
        <w:drawing>
          <wp:inline distT="0" distB="0" distL="0" distR="0" wp14:anchorId="548C4171" wp14:editId="49F89533">
            <wp:extent cx="5400040" cy="3150235"/>
            <wp:effectExtent l="0" t="0" r="10160" b="12065"/>
            <wp:docPr id="1655999753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BB2FC9" w14:textId="449C2639" w:rsidR="00E639ED" w:rsidRDefault="00E639ED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469EE17E" w14:textId="77777777" w:rsidR="00E639ED" w:rsidRDefault="00E639ED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71B0C6D0" w14:textId="502E1321" w:rsidR="00A811E1" w:rsidRDefault="00AE5F1B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  <w:r>
        <w:rPr>
          <w:rFonts w:ascii="Helvetica" w:eastAsia="Times New Roman" w:hAnsi="Helvetica" w:cs="Helvetica"/>
          <w:kern w:val="0"/>
          <w14:ligatures w14:val="none"/>
        </w:rPr>
        <w:tab/>
      </w:r>
      <w:r w:rsidR="0017095E">
        <w:rPr>
          <w:rFonts w:ascii="Helvetica" w:eastAsia="Times New Roman" w:hAnsi="Helvetica" w:cs="Helvetica"/>
          <w:kern w:val="0"/>
          <w14:ligatures w14:val="none"/>
        </w:rPr>
        <w:t>Así mismo</w:t>
      </w:r>
      <w:r>
        <w:rPr>
          <w:rFonts w:ascii="Helvetica" w:eastAsia="Times New Roman" w:hAnsi="Helvetica" w:cs="Helvetica"/>
          <w:kern w:val="0"/>
          <w14:ligatures w14:val="none"/>
        </w:rPr>
        <w:t xml:space="preserve">, </w:t>
      </w:r>
      <w:proofErr w:type="gramStart"/>
      <w:r>
        <w:rPr>
          <w:rFonts w:ascii="Helvetica" w:eastAsia="Times New Roman" w:hAnsi="Helvetica" w:cs="Helvetica"/>
          <w:kern w:val="0"/>
          <w14:ligatures w14:val="none"/>
        </w:rPr>
        <w:t>destacar</w:t>
      </w:r>
      <w:proofErr w:type="gramEnd"/>
      <w:r>
        <w:rPr>
          <w:rFonts w:ascii="Helvetica" w:eastAsia="Times New Roman" w:hAnsi="Helvetica" w:cs="Helvetica"/>
          <w:kern w:val="0"/>
          <w14:ligatures w14:val="none"/>
        </w:rPr>
        <w:t xml:space="preserve"> que el resultado de las quejas, sugerencias, reclamaciones y felicitaciones interpuestas, que puede ser estimatorio, desestimatorio o inadmitido, </w:t>
      </w:r>
      <w:r w:rsidR="00A811E1">
        <w:rPr>
          <w:rFonts w:ascii="Helvetica" w:eastAsia="Times New Roman" w:hAnsi="Helvetica" w:cs="Helvetica"/>
          <w:kern w:val="0"/>
          <w14:ligatures w14:val="none"/>
        </w:rPr>
        <w:t xml:space="preserve">se </w:t>
      </w:r>
      <w:r w:rsidR="0017095E">
        <w:rPr>
          <w:rFonts w:ascii="Helvetica" w:eastAsia="Times New Roman" w:hAnsi="Helvetica" w:cs="Helvetica"/>
          <w:kern w:val="0"/>
          <w14:ligatures w14:val="none"/>
        </w:rPr>
        <w:t xml:space="preserve">ha </w:t>
      </w:r>
      <w:r w:rsidR="00A811E1">
        <w:rPr>
          <w:rFonts w:ascii="Helvetica" w:eastAsia="Times New Roman" w:hAnsi="Helvetica" w:cs="Helvetica"/>
          <w:kern w:val="0"/>
          <w14:ligatures w14:val="none"/>
        </w:rPr>
        <w:t>articula</w:t>
      </w:r>
      <w:r w:rsidR="0017095E">
        <w:rPr>
          <w:rFonts w:ascii="Helvetica" w:eastAsia="Times New Roman" w:hAnsi="Helvetica" w:cs="Helvetica"/>
          <w:kern w:val="0"/>
          <w14:ligatures w14:val="none"/>
        </w:rPr>
        <w:t>do</w:t>
      </w:r>
      <w:r w:rsidR="00A811E1">
        <w:rPr>
          <w:rFonts w:ascii="Helvetica" w:eastAsia="Times New Roman" w:hAnsi="Helvetica" w:cs="Helvetica"/>
          <w:kern w:val="0"/>
          <w14:ligatures w14:val="none"/>
        </w:rPr>
        <w:t xml:space="preserve"> en formato resolución</w:t>
      </w:r>
      <w:r w:rsidR="0017095E">
        <w:rPr>
          <w:rFonts w:ascii="Helvetica" w:eastAsia="Times New Roman" w:hAnsi="Helvetica" w:cs="Helvetica"/>
          <w:kern w:val="0"/>
          <w14:ligatures w14:val="none"/>
        </w:rPr>
        <w:t xml:space="preserve">, que </w:t>
      </w:r>
      <w:r w:rsidR="00EA7876">
        <w:rPr>
          <w:rFonts w:ascii="Helvetica" w:eastAsia="Times New Roman" w:hAnsi="Helvetica" w:cs="Helvetica"/>
          <w:kern w:val="0"/>
          <w14:ligatures w14:val="none"/>
        </w:rPr>
        <w:t>es notificada individualmente a cada vecino</w:t>
      </w:r>
      <w:r w:rsidR="00A811E1">
        <w:rPr>
          <w:rFonts w:ascii="Helvetica" w:eastAsia="Times New Roman" w:hAnsi="Helvetica" w:cs="Helvetica"/>
          <w:kern w:val="0"/>
          <w14:ligatures w14:val="none"/>
        </w:rPr>
        <w:t>, bien sea en papel, bien sea a través de medios electrónicos, en función del medio elegido de comunicación con el Ayuntamiento.</w:t>
      </w:r>
    </w:p>
    <w:p w14:paraId="3033CF01" w14:textId="77777777" w:rsidR="0017095E" w:rsidRDefault="0017095E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66230580" w14:textId="2EA84CD0" w:rsidR="0017095E" w:rsidRDefault="0017095E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  <w:r>
        <w:rPr>
          <w:rFonts w:ascii="Helvetica" w:eastAsia="Times New Roman" w:hAnsi="Helvetica" w:cs="Helvetica"/>
          <w:kern w:val="0"/>
          <w14:ligatures w14:val="none"/>
        </w:rPr>
        <w:tab/>
        <w:t xml:space="preserve">En último término y </w:t>
      </w:r>
      <w:proofErr w:type="gramStart"/>
      <w:r>
        <w:rPr>
          <w:rFonts w:ascii="Helvetica" w:eastAsia="Times New Roman" w:hAnsi="Helvetica" w:cs="Helvetica"/>
          <w:kern w:val="0"/>
          <w14:ligatures w14:val="none"/>
        </w:rPr>
        <w:t>en relación al</w:t>
      </w:r>
      <w:proofErr w:type="gramEnd"/>
      <w:r>
        <w:rPr>
          <w:rFonts w:ascii="Helvetica" w:eastAsia="Times New Roman" w:hAnsi="Helvetica" w:cs="Helvetica"/>
          <w:kern w:val="0"/>
          <w14:ligatures w14:val="none"/>
        </w:rPr>
        <w:t xml:space="preserve"> sentido de la resolución, se puede enunciar que del total de quejas, sugerencias, reclamaciones y felicitaciones que se han resuelto a fecha 31 de diciembre de 2024, esto es, 104, se han de considerar como </w:t>
      </w:r>
      <w:r w:rsidRPr="0017095E">
        <w:rPr>
          <w:rFonts w:ascii="Helvetica" w:eastAsia="Times New Roman" w:hAnsi="Helvetica" w:cs="Helvetica"/>
          <w:i/>
          <w:iCs/>
          <w:kern w:val="0"/>
          <w14:ligatures w14:val="none"/>
        </w:rPr>
        <w:t>“estimadas</w:t>
      </w:r>
      <w:r>
        <w:rPr>
          <w:rFonts w:ascii="Helvetica" w:eastAsia="Times New Roman" w:hAnsi="Helvetica" w:cs="Helvetica"/>
          <w:kern w:val="0"/>
          <w14:ligatures w14:val="none"/>
        </w:rPr>
        <w:t xml:space="preserve">” 51 y </w:t>
      </w:r>
      <w:r w:rsidRPr="0017095E">
        <w:rPr>
          <w:rFonts w:ascii="Helvetica" w:eastAsia="Times New Roman" w:hAnsi="Helvetica" w:cs="Helvetica"/>
          <w:i/>
          <w:iCs/>
          <w:kern w:val="0"/>
          <w14:ligatures w14:val="none"/>
        </w:rPr>
        <w:t>“desestimadas”</w:t>
      </w:r>
      <w:r>
        <w:rPr>
          <w:rFonts w:ascii="Helvetica" w:eastAsia="Times New Roman" w:hAnsi="Helvetica" w:cs="Helvetica"/>
          <w:kern w:val="0"/>
          <w14:ligatures w14:val="none"/>
        </w:rPr>
        <w:t xml:space="preserve"> 53. Esta calificación obedece únicamente a la acepción practicada en cada una de las instancias, habiendo sido todas ellas, con independencia del sentido otorgado, debidamente instruidas conforme a la normativa vigente</w:t>
      </w:r>
      <w:r w:rsidR="00AE554F">
        <w:rPr>
          <w:rFonts w:ascii="Helvetica" w:eastAsia="Times New Roman" w:hAnsi="Helvetica" w:cs="Helvetica"/>
          <w:kern w:val="0"/>
          <w14:ligatures w14:val="none"/>
        </w:rPr>
        <w:t xml:space="preserve">. </w:t>
      </w:r>
      <w:r>
        <w:rPr>
          <w:rFonts w:ascii="Helvetica" w:eastAsia="Times New Roman" w:hAnsi="Helvetica" w:cs="Helvetica"/>
          <w:kern w:val="0"/>
          <w14:ligatures w14:val="none"/>
        </w:rPr>
        <w:t xml:space="preserve"> </w:t>
      </w:r>
    </w:p>
    <w:p w14:paraId="1917BE18" w14:textId="77777777" w:rsidR="00AE554F" w:rsidRDefault="00AE554F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421F580F" w14:textId="77777777" w:rsidR="004A44C0" w:rsidRDefault="004A44C0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</w:p>
    <w:p w14:paraId="14BE6BB0" w14:textId="550BD60B" w:rsidR="0042786D" w:rsidRPr="004C618E" w:rsidRDefault="0042786D" w:rsidP="00D54210">
      <w:pPr>
        <w:spacing w:after="0" w:line="240" w:lineRule="auto"/>
        <w:jc w:val="both"/>
        <w:rPr>
          <w:rFonts w:ascii="Helvetica" w:eastAsia="Times New Roman" w:hAnsi="Helvetica" w:cs="Helvetica"/>
          <w:kern w:val="0"/>
          <w14:ligatures w14:val="none"/>
        </w:rPr>
      </w:pPr>
      <w:r w:rsidRPr="004C618E">
        <w:rPr>
          <w:rFonts w:ascii="Helvetica" w:eastAsia="Times New Roman" w:hAnsi="Helvetica" w:cs="Helvetica"/>
          <w:kern w:val="0"/>
          <w14:ligatures w14:val="none"/>
        </w:rPr>
        <w:t>En Las Rozas de Madrid, a la fecha de la firma</w:t>
      </w:r>
    </w:p>
    <w:p w14:paraId="6835F9AE" w14:textId="143ADAE5" w:rsidR="0042786D" w:rsidRPr="00AE5F1B" w:rsidRDefault="0042786D" w:rsidP="00D54210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bCs/>
          <w:kern w:val="1"/>
          <w:lang w:eastAsia="es-ES"/>
          <w14:ligatures w14:val="none"/>
        </w:rPr>
      </w:pPr>
      <w:r w:rsidRPr="00AE5F1B">
        <w:rPr>
          <w:rFonts w:ascii="Arial" w:eastAsia="Lucida Sans Unicode" w:hAnsi="Arial" w:cs="Arial"/>
          <w:bCs/>
          <w:kern w:val="1"/>
          <w:lang w:eastAsia="es-ES"/>
          <w14:ligatures w14:val="none"/>
        </w:rPr>
        <w:t xml:space="preserve">D. </w:t>
      </w:r>
      <w:r w:rsidR="00AE5F1B" w:rsidRPr="00AE5F1B">
        <w:rPr>
          <w:rFonts w:ascii="Arial" w:eastAsia="Lucida Sans Unicode" w:hAnsi="Arial" w:cs="Arial"/>
          <w:bCs/>
          <w:kern w:val="1"/>
          <w:lang w:eastAsia="es-ES"/>
          <w14:ligatures w14:val="none"/>
        </w:rPr>
        <w:t>Juan de Dios García Aybar</w:t>
      </w:r>
      <w:r w:rsidR="00AE5F1B">
        <w:rPr>
          <w:rFonts w:ascii="Arial" w:eastAsia="Lucida Sans Unicode" w:hAnsi="Arial" w:cs="Arial"/>
          <w:bCs/>
          <w:kern w:val="1"/>
          <w:lang w:eastAsia="es-ES"/>
          <w14:ligatures w14:val="none"/>
        </w:rPr>
        <w:t>,</w:t>
      </w:r>
    </w:p>
    <w:p w14:paraId="409543FC" w14:textId="578AB72E" w:rsidR="0042786D" w:rsidRPr="004A4D77" w:rsidRDefault="00AE5F1B" w:rsidP="00D54210">
      <w:pPr>
        <w:spacing w:after="0" w:line="240" w:lineRule="auto"/>
        <w:jc w:val="both"/>
        <w:rPr>
          <w:rFonts w:ascii="Arial" w:eastAsia="Lucida Sans Unicode" w:hAnsi="Arial" w:cs="Times New Roman"/>
          <w:kern w:val="0"/>
          <w:sz w:val="20"/>
          <w:szCs w:val="20"/>
          <w:lang w:eastAsia="es-ES"/>
          <w14:ligatures w14:val="none"/>
        </w:rPr>
      </w:pPr>
      <w:r>
        <w:rPr>
          <w:rFonts w:ascii="Arial" w:eastAsia="Lucida Sans Unicode" w:hAnsi="Arial" w:cs="Times New Roman"/>
          <w:kern w:val="0"/>
          <w:sz w:val="20"/>
          <w:szCs w:val="20"/>
          <w:lang w:eastAsia="es-ES"/>
          <w14:ligatures w14:val="none"/>
        </w:rPr>
        <w:t>JEFE DE UNIDAD DE TRANSPARENCIA</w:t>
      </w:r>
    </w:p>
    <w:p w14:paraId="395DFA62" w14:textId="77777777" w:rsidR="0042786D" w:rsidRDefault="0042786D" w:rsidP="00D54210">
      <w:pPr>
        <w:spacing w:after="0" w:line="240" w:lineRule="auto"/>
        <w:jc w:val="both"/>
        <w:rPr>
          <w:rFonts w:ascii="Arial" w:eastAsia="Lucida Sans Unicode" w:hAnsi="Arial" w:cs="Times New Roman"/>
          <w:kern w:val="0"/>
          <w:sz w:val="20"/>
          <w:szCs w:val="20"/>
          <w:lang w:eastAsia="es-ES"/>
          <w14:ligatures w14:val="none"/>
        </w:rPr>
      </w:pPr>
    </w:p>
    <w:p w14:paraId="65F1DDA1" w14:textId="77777777" w:rsidR="004A44C0" w:rsidRPr="004A4D77" w:rsidRDefault="004A44C0" w:rsidP="00D54210">
      <w:pPr>
        <w:spacing w:after="0" w:line="240" w:lineRule="auto"/>
        <w:jc w:val="both"/>
        <w:rPr>
          <w:rFonts w:ascii="Arial" w:eastAsia="Lucida Sans Unicode" w:hAnsi="Arial" w:cs="Times New Roman"/>
          <w:kern w:val="0"/>
          <w:sz w:val="20"/>
          <w:szCs w:val="20"/>
          <w:lang w:eastAsia="es-ES"/>
          <w14:ligatures w14:val="none"/>
        </w:rPr>
      </w:pPr>
    </w:p>
    <w:p w14:paraId="0D53DCAA" w14:textId="10554791" w:rsidR="00FF38BD" w:rsidRDefault="0042786D" w:rsidP="004A44C0">
      <w:pPr>
        <w:widowControl w:val="0"/>
        <w:suppressAutoHyphens/>
        <w:spacing w:after="120" w:line="240" w:lineRule="auto"/>
        <w:jc w:val="center"/>
      </w:pPr>
      <w:r w:rsidRPr="004A4D77">
        <w:rPr>
          <w:rFonts w:ascii="Arial" w:eastAsia="Lucida Sans Unicode" w:hAnsi="Arial" w:cs="Arial"/>
          <w:b/>
          <w:i/>
          <w:iCs/>
          <w:kern w:val="1"/>
          <w:lang w:val="x-none" w:eastAsia="es-ES"/>
          <w14:ligatures w14:val="none"/>
        </w:rPr>
        <w:t>DOCUMENTO FIRMADO ELECTRÓNICAMENTE</w:t>
      </w:r>
    </w:p>
    <w:sectPr w:rsidR="00FF38BD" w:rsidSect="0042786D">
      <w:headerReference w:type="default" r:id="rId10"/>
      <w:footerReference w:type="default" r:id="rId11"/>
      <w:pgSz w:w="11906" w:h="16838"/>
      <w:pgMar w:top="1993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4AA2" w14:textId="77777777" w:rsidR="0013726A" w:rsidRDefault="0013726A">
      <w:pPr>
        <w:spacing w:after="0" w:line="240" w:lineRule="auto"/>
      </w:pPr>
      <w:r>
        <w:separator/>
      </w:r>
    </w:p>
  </w:endnote>
  <w:endnote w:type="continuationSeparator" w:id="0">
    <w:p w14:paraId="150380D9" w14:textId="77777777" w:rsidR="0013726A" w:rsidRDefault="0013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1ECA" w14:textId="77777777" w:rsidR="00FB1017" w:rsidRDefault="00500111">
    <w:pPr>
      <w:pStyle w:val="Piedepgina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2CE16" w14:textId="77777777" w:rsidR="0013726A" w:rsidRDefault="0013726A">
      <w:pPr>
        <w:spacing w:after="0" w:line="240" w:lineRule="auto"/>
      </w:pPr>
      <w:r>
        <w:separator/>
      </w:r>
    </w:p>
  </w:footnote>
  <w:footnote w:type="continuationSeparator" w:id="0">
    <w:p w14:paraId="010C1782" w14:textId="77777777" w:rsidR="0013726A" w:rsidRDefault="0013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4223" w14:textId="77777777" w:rsidR="00FB1017" w:rsidRDefault="00500111">
    <w:pPr>
      <w:pStyle w:val="Encabezado1"/>
    </w:pPr>
    <w:r>
      <w:t xml:space="preserve"> </w:t>
    </w:r>
    <w:r w:rsidRPr="00582E73">
      <w:rPr>
        <w:noProof/>
        <w:lang w:eastAsia="es-ES"/>
      </w:rPr>
      <w:drawing>
        <wp:inline distT="0" distB="0" distL="0" distR="0" wp14:anchorId="69A9DD99" wp14:editId="34A7324A">
          <wp:extent cx="1066800" cy="1200150"/>
          <wp:effectExtent l="0" t="0" r="0" b="0"/>
          <wp:docPr id="2" name="Imagen 2" descr="logotipolasrozas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lasrozas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11BD9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BA163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FE7549"/>
    <w:multiLevelType w:val="hybridMultilevel"/>
    <w:tmpl w:val="60E6B2C2"/>
    <w:lvl w:ilvl="0" w:tplc="B9E657B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61519"/>
    <w:multiLevelType w:val="hybridMultilevel"/>
    <w:tmpl w:val="155AA076"/>
    <w:lvl w:ilvl="0" w:tplc="41DE4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6C1B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F13CFE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88893931">
    <w:abstractNumId w:val="3"/>
  </w:num>
  <w:num w:numId="2" w16cid:durableId="2070223383">
    <w:abstractNumId w:val="4"/>
  </w:num>
  <w:num w:numId="3" w16cid:durableId="30767138">
    <w:abstractNumId w:val="1"/>
  </w:num>
  <w:num w:numId="4" w16cid:durableId="2016034792">
    <w:abstractNumId w:val="2"/>
  </w:num>
  <w:num w:numId="5" w16cid:durableId="671760416">
    <w:abstractNumId w:val="5"/>
  </w:num>
  <w:num w:numId="6" w16cid:durableId="22841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6D"/>
    <w:rsid w:val="00006BF2"/>
    <w:rsid w:val="00021257"/>
    <w:rsid w:val="000728E4"/>
    <w:rsid w:val="0013726A"/>
    <w:rsid w:val="0017095E"/>
    <w:rsid w:val="001875A3"/>
    <w:rsid w:val="00234027"/>
    <w:rsid w:val="002A798D"/>
    <w:rsid w:val="002D438F"/>
    <w:rsid w:val="002D6545"/>
    <w:rsid w:val="0030214C"/>
    <w:rsid w:val="003433CA"/>
    <w:rsid w:val="0038712B"/>
    <w:rsid w:val="003B0FFF"/>
    <w:rsid w:val="003B7117"/>
    <w:rsid w:val="003D2D9A"/>
    <w:rsid w:val="00410CA5"/>
    <w:rsid w:val="00412826"/>
    <w:rsid w:val="0042786D"/>
    <w:rsid w:val="004608BD"/>
    <w:rsid w:val="00477A04"/>
    <w:rsid w:val="004A44C0"/>
    <w:rsid w:val="004C281D"/>
    <w:rsid w:val="004E5A26"/>
    <w:rsid w:val="004F47BD"/>
    <w:rsid w:val="00500111"/>
    <w:rsid w:val="00510192"/>
    <w:rsid w:val="00513E28"/>
    <w:rsid w:val="005429C1"/>
    <w:rsid w:val="005630F3"/>
    <w:rsid w:val="00563491"/>
    <w:rsid w:val="00563EA8"/>
    <w:rsid w:val="005D4949"/>
    <w:rsid w:val="006253D8"/>
    <w:rsid w:val="00632672"/>
    <w:rsid w:val="00655E7F"/>
    <w:rsid w:val="00656DA3"/>
    <w:rsid w:val="006833A5"/>
    <w:rsid w:val="006D3DE1"/>
    <w:rsid w:val="00743860"/>
    <w:rsid w:val="0075443E"/>
    <w:rsid w:val="00805189"/>
    <w:rsid w:val="00845519"/>
    <w:rsid w:val="00881713"/>
    <w:rsid w:val="00942D19"/>
    <w:rsid w:val="00A51670"/>
    <w:rsid w:val="00A617AE"/>
    <w:rsid w:val="00A811E1"/>
    <w:rsid w:val="00AA4548"/>
    <w:rsid w:val="00AB17B2"/>
    <w:rsid w:val="00AB5B7F"/>
    <w:rsid w:val="00AC7BA0"/>
    <w:rsid w:val="00AE554F"/>
    <w:rsid w:val="00AE5F1B"/>
    <w:rsid w:val="00B50F0A"/>
    <w:rsid w:val="00BA646F"/>
    <w:rsid w:val="00C448D7"/>
    <w:rsid w:val="00CE22D3"/>
    <w:rsid w:val="00D072D7"/>
    <w:rsid w:val="00D40741"/>
    <w:rsid w:val="00D54210"/>
    <w:rsid w:val="00D93E74"/>
    <w:rsid w:val="00DE1A7D"/>
    <w:rsid w:val="00E01A11"/>
    <w:rsid w:val="00E14DF7"/>
    <w:rsid w:val="00E639ED"/>
    <w:rsid w:val="00E6539A"/>
    <w:rsid w:val="00EA2815"/>
    <w:rsid w:val="00EA7876"/>
    <w:rsid w:val="00F3657C"/>
    <w:rsid w:val="00F97DDA"/>
    <w:rsid w:val="00FB1017"/>
    <w:rsid w:val="00FB39F9"/>
    <w:rsid w:val="00FD27D5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CC4"/>
  <w15:chartTrackingRefBased/>
  <w15:docId w15:val="{663396D0-C983-44C9-8E12-992B345A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42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42786D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42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42786D"/>
  </w:style>
  <w:style w:type="paragraph" w:styleId="Encabezado">
    <w:name w:val="header"/>
    <w:basedOn w:val="Normal"/>
    <w:link w:val="EncabezadoCar1"/>
    <w:uiPriority w:val="99"/>
    <w:semiHidden/>
    <w:unhideWhenUsed/>
    <w:rsid w:val="0042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42786D"/>
  </w:style>
  <w:style w:type="paragraph" w:styleId="Prrafodelista">
    <w:name w:val="List Paragraph"/>
    <w:basedOn w:val="Normal"/>
    <w:uiPriority w:val="34"/>
    <w:qFormat/>
    <w:rsid w:val="0042786D"/>
    <w:pPr>
      <w:ind w:left="720"/>
      <w:contextualSpacing/>
    </w:pPr>
  </w:style>
  <w:style w:type="paragraph" w:customStyle="1" w:styleId="Default">
    <w:name w:val="Default"/>
    <w:rsid w:val="004278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Piedepgina">
    <w:name w:val="footer"/>
    <w:basedOn w:val="Normal"/>
    <w:link w:val="PiedepginaCar1"/>
    <w:uiPriority w:val="99"/>
    <w:semiHidden/>
    <w:unhideWhenUsed/>
    <w:rsid w:val="004278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42786D"/>
  </w:style>
  <w:style w:type="table" w:styleId="Tablaconcuadrcula">
    <w:name w:val="Table Grid"/>
    <w:basedOn w:val="Tablanormal"/>
    <w:uiPriority w:val="39"/>
    <w:rsid w:val="00E1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5.4019599854815893E-2"/>
          <c:y val="0.14952630518040719"/>
          <c:w val="0.9177583869749113"/>
          <c:h val="0.66473136131114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1">
                  <c:v>Sugerencias</c:v>
                </c:pt>
                <c:pt idx="2">
                  <c:v>Quejas</c:v>
                </c:pt>
                <c:pt idx="3">
                  <c:v>Felicitaciones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1">
                  <c:v>22</c:v>
                </c:pt>
                <c:pt idx="2">
                  <c:v>152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D9-4D09-BC7C-E2EE04BE6F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520112"/>
        <c:axId val="278520592"/>
      </c:barChart>
      <c:catAx>
        <c:axId val="27852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78520592"/>
        <c:crosses val="autoZero"/>
        <c:auto val="1"/>
        <c:lblAlgn val="ctr"/>
        <c:lblOffset val="100"/>
        <c:noMultiLvlLbl val="0"/>
      </c:catAx>
      <c:valAx>
        <c:axId val="278520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7852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Número por áreas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Medio Ambiente</c:v>
                </c:pt>
                <c:pt idx="1">
                  <c:v>Gestión Tributaria</c:v>
                </c:pt>
                <c:pt idx="2">
                  <c:v>Sanidad</c:v>
                </c:pt>
                <c:pt idx="3">
                  <c:v>Registro</c:v>
                </c:pt>
                <c:pt idx="4">
                  <c:v>Economía y Empleo</c:v>
                </c:pt>
                <c:pt idx="5">
                  <c:v>Cultura</c:v>
                </c:pt>
                <c:pt idx="6">
                  <c:v>Servicios Sociales</c:v>
                </c:pt>
                <c:pt idx="7">
                  <c:v>Oficina Digital</c:v>
                </c:pt>
                <c:pt idx="8">
                  <c:v>Deportes</c:v>
                </c:pt>
                <c:pt idx="9">
                  <c:v>Infraestructuras y Obras</c:v>
                </c:pt>
                <c:pt idx="10">
                  <c:v>Consumo</c:v>
                </c:pt>
                <c:pt idx="11">
                  <c:v>Urbanismo</c:v>
                </c:pt>
              </c:strCache>
            </c:strRef>
          </c:cat>
          <c:val>
            <c:numRef>
              <c:f>Hoja1!$B$2:$B$13</c:f>
              <c:numCache>
                <c:formatCode>General</c:formatCode>
                <c:ptCount val="12"/>
                <c:pt idx="0">
                  <c:v>54</c:v>
                </c:pt>
                <c:pt idx="1">
                  <c:v>62</c:v>
                </c:pt>
                <c:pt idx="2">
                  <c:v>2</c:v>
                </c:pt>
                <c:pt idx="3">
                  <c:v>11</c:v>
                </c:pt>
                <c:pt idx="4">
                  <c:v>1</c:v>
                </c:pt>
                <c:pt idx="5">
                  <c:v>4</c:v>
                </c:pt>
                <c:pt idx="6">
                  <c:v>15</c:v>
                </c:pt>
                <c:pt idx="7">
                  <c:v>4</c:v>
                </c:pt>
                <c:pt idx="8">
                  <c:v>17</c:v>
                </c:pt>
                <c:pt idx="9">
                  <c:v>12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60-4A20-990F-CEA8B12DF3EE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Medio Ambiente</c:v>
                </c:pt>
                <c:pt idx="1">
                  <c:v>Gestión Tributaria</c:v>
                </c:pt>
                <c:pt idx="2">
                  <c:v>Sanidad</c:v>
                </c:pt>
                <c:pt idx="3">
                  <c:v>Registro</c:v>
                </c:pt>
                <c:pt idx="4">
                  <c:v>Economía y Empleo</c:v>
                </c:pt>
                <c:pt idx="5">
                  <c:v>Cultura</c:v>
                </c:pt>
                <c:pt idx="6">
                  <c:v>Servicios Sociales</c:v>
                </c:pt>
                <c:pt idx="7">
                  <c:v>Oficina Digital</c:v>
                </c:pt>
                <c:pt idx="8">
                  <c:v>Deportes</c:v>
                </c:pt>
                <c:pt idx="9">
                  <c:v>Infraestructuras y Obras</c:v>
                </c:pt>
                <c:pt idx="10">
                  <c:v>Consumo</c:v>
                </c:pt>
                <c:pt idx="11">
                  <c:v>Urbanismo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1-8360-4A20-990F-CEA8B12DF3EE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Hoja1!$A$2:$A$13</c:f>
              <c:strCache>
                <c:ptCount val="12"/>
                <c:pt idx="0">
                  <c:v>Medio Ambiente</c:v>
                </c:pt>
                <c:pt idx="1">
                  <c:v>Gestión Tributaria</c:v>
                </c:pt>
                <c:pt idx="2">
                  <c:v>Sanidad</c:v>
                </c:pt>
                <c:pt idx="3">
                  <c:v>Registro</c:v>
                </c:pt>
                <c:pt idx="4">
                  <c:v>Economía y Empleo</c:v>
                </c:pt>
                <c:pt idx="5">
                  <c:v>Cultura</c:v>
                </c:pt>
                <c:pt idx="6">
                  <c:v>Servicios Sociales</c:v>
                </c:pt>
                <c:pt idx="7">
                  <c:v>Oficina Digital</c:v>
                </c:pt>
                <c:pt idx="8">
                  <c:v>Deportes</c:v>
                </c:pt>
                <c:pt idx="9">
                  <c:v>Infraestructuras y Obras</c:v>
                </c:pt>
                <c:pt idx="10">
                  <c:v>Consumo</c:v>
                </c:pt>
                <c:pt idx="11">
                  <c:v>Urbanismo</c:v>
                </c:pt>
              </c:strCache>
            </c:strRef>
          </c:cat>
          <c:val>
            <c:numRef>
              <c:f>Hoja1!$D$2:$D$13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2-8360-4A20-990F-CEA8B12DF3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9761647"/>
        <c:axId val="809748687"/>
      </c:barChart>
      <c:catAx>
        <c:axId val="8097616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09748687"/>
        <c:crosses val="autoZero"/>
        <c:auto val="1"/>
        <c:lblAlgn val="ctr"/>
        <c:lblOffset val="100"/>
        <c:noMultiLvlLbl val="0"/>
      </c:catAx>
      <c:valAx>
        <c:axId val="80974868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8097616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5307-6107-4A77-B78A-31C9336E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Las Rozas de Madrid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Díaz Calvo</dc:creator>
  <cp:keywords/>
  <dc:description/>
  <cp:lastModifiedBy>Juan de Dios García Aybar</cp:lastModifiedBy>
  <cp:revision>8</cp:revision>
  <cp:lastPrinted>2024-12-05T09:04:00Z</cp:lastPrinted>
  <dcterms:created xsi:type="dcterms:W3CDTF">2025-02-03T07:15:00Z</dcterms:created>
  <dcterms:modified xsi:type="dcterms:W3CDTF">2025-02-04T10:24:00Z</dcterms:modified>
</cp:coreProperties>
</file>