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E66FE" w14:textId="77777777" w:rsidR="00180D22" w:rsidRPr="0025310D" w:rsidRDefault="00490967" w:rsidP="004228E0">
      <w:pPr>
        <w:spacing w:before="600" w:after="100" w:afterAutospacing="1"/>
        <w:jc w:val="center"/>
        <w:rPr>
          <w:b/>
          <w:sz w:val="36"/>
          <w:u w:val="single"/>
        </w:rPr>
      </w:pPr>
      <w:r w:rsidRPr="0025310D">
        <w:rPr>
          <w:b/>
          <w:sz w:val="36"/>
          <w:u w:val="single"/>
        </w:rPr>
        <w:t>INFORME</w:t>
      </w:r>
      <w:r w:rsidR="003905FE" w:rsidRPr="0025310D">
        <w:rPr>
          <w:b/>
          <w:sz w:val="36"/>
          <w:u w:val="single"/>
        </w:rPr>
        <w:t xml:space="preserve"> TRIMESTRAL DE MOROSIDAD</w:t>
      </w:r>
    </w:p>
    <w:p w14:paraId="7361AF10" w14:textId="76C90991" w:rsidR="00ED49B2" w:rsidRPr="0025310D" w:rsidRDefault="00651149" w:rsidP="00651149">
      <w:pPr>
        <w:spacing w:before="360" w:after="100" w:afterAutospacing="1"/>
        <w:ind w:left="2124" w:firstLine="708"/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TERCER </w:t>
      </w:r>
      <w:r w:rsidR="00ED49B2" w:rsidRPr="0025310D">
        <w:rPr>
          <w:b/>
          <w:sz w:val="36"/>
          <w:u w:val="single"/>
        </w:rPr>
        <w:t>TRIMESTRE 2025</w:t>
      </w:r>
    </w:p>
    <w:p w14:paraId="4382EBDB" w14:textId="77777777" w:rsidR="00180D22" w:rsidRPr="0025310D" w:rsidRDefault="00180D22" w:rsidP="004228E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600" w:after="100" w:afterAutospacing="1"/>
        <w:jc w:val="center"/>
        <w:rPr>
          <w:sz w:val="24"/>
        </w:rPr>
      </w:pPr>
      <w:r w:rsidRPr="0025310D">
        <w:rPr>
          <w:b/>
          <w:sz w:val="24"/>
        </w:rPr>
        <w:t xml:space="preserve">CUMPLIMIENTO DE LOS PLAZOS DE PAGO DE LAS OPERACIONES COMERCIALES DEL AYUNTAMIENTO DE </w:t>
      </w:r>
      <w:r w:rsidR="00607681" w:rsidRPr="0025310D">
        <w:rPr>
          <w:b/>
          <w:sz w:val="24"/>
        </w:rPr>
        <w:t>LAS ROZAS DE MADRID.</w:t>
      </w:r>
    </w:p>
    <w:p w14:paraId="40984887" w14:textId="51A1D3CB" w:rsidR="00180D22" w:rsidRPr="0025310D" w:rsidRDefault="00607681" w:rsidP="004228E0">
      <w:pPr>
        <w:spacing w:before="240" w:after="100" w:afterAutospacing="1"/>
        <w:ind w:firstLine="708"/>
        <w:jc w:val="both"/>
        <w:rPr>
          <w:sz w:val="24"/>
        </w:rPr>
      </w:pPr>
      <w:r w:rsidRPr="0025310D">
        <w:rPr>
          <w:rStyle w:val="Fuerte"/>
          <w:rFonts w:eastAsia="Arial Unicode MS"/>
          <w:b w:val="0"/>
          <w:sz w:val="26"/>
        </w:rPr>
        <w:t>D. JOSE LUIS CRUZA REDONDO</w:t>
      </w:r>
      <w:r w:rsidR="00180D22" w:rsidRPr="0025310D">
        <w:rPr>
          <w:rStyle w:val="Fuerte"/>
          <w:rFonts w:eastAsia="Arial Unicode MS"/>
          <w:b w:val="0"/>
          <w:sz w:val="24"/>
        </w:rPr>
        <w:t xml:space="preserve">, </w:t>
      </w:r>
      <w:r w:rsidR="00180D22" w:rsidRPr="0025310D">
        <w:rPr>
          <w:sz w:val="24"/>
        </w:rPr>
        <w:t xml:space="preserve">funcionario de carrera de </w:t>
      </w:r>
      <w:smartTag w:uri="urn:schemas-microsoft-com:office:smarttags" w:element="PersonName">
        <w:smartTagPr>
          <w:attr w:name="ProductID" w:val="la Administraci￳n Local"/>
        </w:smartTagPr>
        <w:r w:rsidR="00180D22" w:rsidRPr="0025310D">
          <w:rPr>
            <w:sz w:val="24"/>
          </w:rPr>
          <w:t>la Administración Local</w:t>
        </w:r>
      </w:smartTag>
      <w:r w:rsidR="00180D22" w:rsidRPr="0025310D">
        <w:rPr>
          <w:sz w:val="24"/>
        </w:rPr>
        <w:t xml:space="preserve"> con habilitación estatal, subescala de</w:t>
      </w:r>
      <w:r w:rsidRPr="0025310D">
        <w:rPr>
          <w:sz w:val="24"/>
        </w:rPr>
        <w:t xml:space="preserve"> Intervención-</w:t>
      </w:r>
      <w:r w:rsidR="002D4E3F" w:rsidRPr="0025310D">
        <w:rPr>
          <w:sz w:val="24"/>
        </w:rPr>
        <w:t>Tesorería</w:t>
      </w:r>
      <w:r w:rsidRPr="0025310D">
        <w:rPr>
          <w:sz w:val="24"/>
        </w:rPr>
        <w:t>, categoría superior</w:t>
      </w:r>
      <w:r w:rsidR="00180D22" w:rsidRPr="0025310D">
        <w:rPr>
          <w:sz w:val="24"/>
        </w:rPr>
        <w:t xml:space="preserve"> que desempeña el puesto de </w:t>
      </w:r>
      <w:r w:rsidRPr="0025310D">
        <w:rPr>
          <w:sz w:val="24"/>
        </w:rPr>
        <w:t>Tesorero</w:t>
      </w:r>
      <w:r w:rsidR="00180D22" w:rsidRPr="0025310D">
        <w:rPr>
          <w:sz w:val="24"/>
        </w:rPr>
        <w:t xml:space="preserve"> del</w:t>
      </w:r>
      <w:r w:rsidR="00814D8B" w:rsidRPr="0025310D">
        <w:rPr>
          <w:sz w:val="24"/>
        </w:rPr>
        <w:t xml:space="preserve"> </w:t>
      </w:r>
      <w:r w:rsidRPr="0025310D">
        <w:rPr>
          <w:sz w:val="24"/>
        </w:rPr>
        <w:t>Ayuntamiento de Las Rozas de Madrid</w:t>
      </w:r>
      <w:r w:rsidR="00180D22" w:rsidRPr="0025310D">
        <w:rPr>
          <w:sz w:val="24"/>
        </w:rPr>
        <w:t xml:space="preserve"> en el ejercicio de las funciones contempladas en el artículo 196 del Real Decreto Legislativo 2/2004, de 5 de</w:t>
      </w:r>
      <w:r w:rsidR="004228E0" w:rsidRPr="0025310D">
        <w:rPr>
          <w:sz w:val="24"/>
        </w:rPr>
        <w:t xml:space="preserve"> </w:t>
      </w:r>
      <w:r w:rsidR="00180D22" w:rsidRPr="0025310D">
        <w:rPr>
          <w:sz w:val="24"/>
        </w:rPr>
        <w:t>marzo, por el que se aprueba el texto refundido de las Haciendas Locales, y artículos 5.1.</w:t>
      </w:r>
      <w:r w:rsidR="00ED49B2" w:rsidRPr="0025310D">
        <w:rPr>
          <w:sz w:val="24"/>
        </w:rPr>
        <w:t xml:space="preserve">c) </w:t>
      </w:r>
      <w:r w:rsidR="00180D22" w:rsidRPr="0025310D">
        <w:rPr>
          <w:sz w:val="24"/>
        </w:rPr>
        <w:t>y</w:t>
      </w:r>
      <w:r w:rsidR="00ED49B2" w:rsidRPr="0025310D">
        <w:rPr>
          <w:sz w:val="24"/>
        </w:rPr>
        <w:t xml:space="preserve"> e) </w:t>
      </w:r>
      <w:r w:rsidR="00180D22" w:rsidRPr="0025310D">
        <w:rPr>
          <w:sz w:val="24"/>
        </w:rPr>
        <w:t>del Real Decreto 1</w:t>
      </w:r>
      <w:r w:rsidR="00ED49B2" w:rsidRPr="0025310D">
        <w:rPr>
          <w:sz w:val="24"/>
        </w:rPr>
        <w:t>28</w:t>
      </w:r>
      <w:r w:rsidR="00180D22" w:rsidRPr="0025310D">
        <w:rPr>
          <w:sz w:val="24"/>
        </w:rPr>
        <w:t>/</w:t>
      </w:r>
      <w:r w:rsidR="00ED49B2" w:rsidRPr="0025310D">
        <w:rPr>
          <w:sz w:val="24"/>
        </w:rPr>
        <w:t>2018</w:t>
      </w:r>
      <w:r w:rsidR="00180D22" w:rsidRPr="0025310D">
        <w:rPr>
          <w:sz w:val="24"/>
        </w:rPr>
        <w:t>, de 1</w:t>
      </w:r>
      <w:r w:rsidR="00ED49B2" w:rsidRPr="0025310D">
        <w:rPr>
          <w:sz w:val="24"/>
        </w:rPr>
        <w:t>6 de marzo</w:t>
      </w:r>
      <w:r w:rsidR="00180D22" w:rsidRPr="0025310D">
        <w:rPr>
          <w:sz w:val="24"/>
        </w:rPr>
        <w:t xml:space="preserve">, por el que se regula el régimen jurídico de los funcionarios de Administración Local con habilitación de carácter nacional, </w:t>
      </w:r>
      <w:r w:rsidR="00180D22" w:rsidRPr="0025310D">
        <w:rPr>
          <w:b/>
          <w:sz w:val="24"/>
        </w:rPr>
        <w:t>informa</w:t>
      </w:r>
      <w:r w:rsidR="00180D22" w:rsidRPr="0025310D">
        <w:rPr>
          <w:sz w:val="24"/>
        </w:rPr>
        <w:t>:</w:t>
      </w:r>
    </w:p>
    <w:p w14:paraId="3A3FCEA8" w14:textId="77777777" w:rsidR="00180D22" w:rsidRPr="0025310D" w:rsidRDefault="00180D22" w:rsidP="0016667B">
      <w:pPr>
        <w:spacing w:before="480" w:after="100" w:afterAutospacing="1"/>
        <w:jc w:val="both"/>
        <w:rPr>
          <w:b/>
          <w:sz w:val="24"/>
        </w:rPr>
      </w:pPr>
      <w:r w:rsidRPr="0025310D">
        <w:rPr>
          <w:b/>
          <w:sz w:val="24"/>
          <w:u w:val="single"/>
        </w:rPr>
        <w:t>PRIMERO:</w:t>
      </w:r>
      <w:r w:rsidRPr="0025310D">
        <w:rPr>
          <w:sz w:val="24"/>
        </w:rPr>
        <w:t xml:space="preserve"> </w:t>
      </w:r>
    </w:p>
    <w:p w14:paraId="242E3E6A" w14:textId="77777777" w:rsidR="00ED49B2" w:rsidRPr="0025310D" w:rsidRDefault="00ED49B2" w:rsidP="004228E0">
      <w:pPr>
        <w:spacing w:before="240" w:after="100" w:afterAutospacing="1"/>
        <w:jc w:val="both"/>
        <w:rPr>
          <w:b/>
          <w:sz w:val="24"/>
          <w:u w:val="single"/>
        </w:rPr>
      </w:pPr>
      <w:r w:rsidRPr="0025310D">
        <w:rPr>
          <w:b/>
          <w:sz w:val="24"/>
          <w:u w:val="single"/>
        </w:rPr>
        <w:t>CONCEPTO DE PMP A EFECTOS DEL CALCULO DE MOROSIDAD</w:t>
      </w:r>
    </w:p>
    <w:p w14:paraId="00FB21E5" w14:textId="328C36E6" w:rsidR="00555679" w:rsidRPr="0025310D" w:rsidRDefault="00555679" w:rsidP="004228E0">
      <w:pPr>
        <w:spacing w:before="240" w:after="100" w:afterAutospacing="1"/>
        <w:ind w:left="708"/>
        <w:jc w:val="both"/>
        <w:rPr>
          <w:sz w:val="24"/>
        </w:rPr>
      </w:pPr>
      <w:r w:rsidRPr="0025310D">
        <w:rPr>
          <w:sz w:val="24"/>
        </w:rPr>
        <w:t>Legislación:</w:t>
      </w:r>
    </w:p>
    <w:p w14:paraId="41AD4B2C" w14:textId="77CDB6F9" w:rsidR="00555679" w:rsidRPr="0025310D" w:rsidRDefault="00180D22" w:rsidP="00487E7C">
      <w:pPr>
        <w:numPr>
          <w:ilvl w:val="0"/>
          <w:numId w:val="13"/>
        </w:numPr>
        <w:spacing w:before="240" w:after="100" w:afterAutospacing="1"/>
        <w:ind w:left="714" w:hanging="357"/>
        <w:contextualSpacing/>
        <w:jc w:val="both"/>
        <w:rPr>
          <w:sz w:val="24"/>
        </w:rPr>
      </w:pPr>
      <w:r w:rsidRPr="0025310D">
        <w:rPr>
          <w:sz w:val="24"/>
        </w:rPr>
        <w:t>Ley 3/2004, de 29 de diciembre, por la que se establecen medidas de lucha contra la morosidad en las operaciones comerciales</w:t>
      </w:r>
      <w:r w:rsidR="00555679" w:rsidRPr="0025310D">
        <w:rPr>
          <w:sz w:val="24"/>
        </w:rPr>
        <w:t>.</w:t>
      </w:r>
    </w:p>
    <w:p w14:paraId="3029BB8A" w14:textId="29F17268" w:rsidR="00555679" w:rsidRPr="0025310D" w:rsidRDefault="00555679" w:rsidP="00487E7C">
      <w:pPr>
        <w:numPr>
          <w:ilvl w:val="0"/>
          <w:numId w:val="13"/>
        </w:numPr>
        <w:spacing w:before="100" w:beforeAutospacing="1" w:after="100" w:afterAutospacing="1"/>
        <w:ind w:left="714" w:hanging="357"/>
        <w:contextualSpacing/>
        <w:jc w:val="both"/>
        <w:rPr>
          <w:sz w:val="24"/>
        </w:rPr>
      </w:pPr>
      <w:r w:rsidRPr="0025310D">
        <w:rPr>
          <w:sz w:val="24"/>
        </w:rPr>
        <w:t>Ley 9/2017, de 8 de noviembre, de contratos del sector público por la que se transponen al ordenamiento jurídico español las Directivas del Parlamento Europeo y del Consejo 2014/23/UE y 2014/24/UE de 26 de febrero de 2014.</w:t>
      </w:r>
    </w:p>
    <w:p w14:paraId="4C0C6DD5" w14:textId="2EBED4AD" w:rsidR="002B74A5" w:rsidRPr="0025310D" w:rsidRDefault="002B74A5" w:rsidP="00487E7C">
      <w:pPr>
        <w:numPr>
          <w:ilvl w:val="0"/>
          <w:numId w:val="13"/>
        </w:numPr>
        <w:spacing w:before="100" w:beforeAutospacing="1" w:after="100" w:afterAutospacing="1"/>
        <w:ind w:left="714" w:hanging="357"/>
        <w:contextualSpacing/>
        <w:jc w:val="both"/>
        <w:rPr>
          <w:sz w:val="24"/>
        </w:rPr>
      </w:pPr>
      <w:r w:rsidRPr="0025310D">
        <w:rPr>
          <w:sz w:val="24"/>
        </w:rPr>
        <w:t>Real Decreto 128/2018 de 16 de marzo por el que se regula el régimen jurídico de los funcionarios de Administración Local con habilitación de carácter nacional</w:t>
      </w:r>
      <w:r w:rsidR="004D34BB" w:rsidRPr="0025310D">
        <w:rPr>
          <w:sz w:val="24"/>
        </w:rPr>
        <w:t xml:space="preserve"> -</w:t>
      </w:r>
      <w:r w:rsidRPr="0025310D">
        <w:rPr>
          <w:sz w:val="24"/>
        </w:rPr>
        <w:t>artículo 5.1.c)</w:t>
      </w:r>
      <w:r w:rsidR="004D34BB" w:rsidRPr="0025310D">
        <w:rPr>
          <w:sz w:val="24"/>
        </w:rPr>
        <w:t>.</w:t>
      </w:r>
    </w:p>
    <w:p w14:paraId="383ADDBA" w14:textId="77777777" w:rsidR="0049350E" w:rsidRPr="0025310D" w:rsidRDefault="00180D22" w:rsidP="004228E0">
      <w:pPr>
        <w:spacing w:before="360" w:after="100" w:afterAutospacing="1"/>
        <w:ind w:left="709" w:firstLine="709"/>
        <w:jc w:val="both"/>
        <w:rPr>
          <w:i/>
        </w:rPr>
      </w:pPr>
      <w:r w:rsidRPr="0025310D">
        <w:rPr>
          <w:i/>
        </w:rPr>
        <w:t>“</w:t>
      </w:r>
      <w:r w:rsidR="0049350E" w:rsidRPr="0025310D">
        <w:rPr>
          <w:i/>
        </w:rPr>
        <w:t xml:space="preserve">…Artículo </w:t>
      </w:r>
      <w:r w:rsidR="004D34BB" w:rsidRPr="0025310D">
        <w:rPr>
          <w:i/>
        </w:rPr>
        <w:t>16.6 de la Orden HAP/2105/2012 (redacción Orden HAP/2082/2014).</w:t>
      </w:r>
    </w:p>
    <w:p w14:paraId="4558FBF7" w14:textId="77777777" w:rsidR="00180D22" w:rsidRPr="0025310D" w:rsidRDefault="004D34BB" w:rsidP="004228E0">
      <w:pPr>
        <w:spacing w:before="100" w:beforeAutospacing="1" w:after="100" w:afterAutospacing="1"/>
        <w:ind w:left="1418"/>
        <w:jc w:val="both"/>
        <w:rPr>
          <w:i/>
        </w:rPr>
      </w:pPr>
      <w:r w:rsidRPr="0025310D">
        <w:rPr>
          <w:i/>
        </w:rPr>
        <w:t>El informe trimestral, regulado en el artículo 4 de la Ley 15/2010, de 5 de julio, de modificación de la Ley 3/2004, de 29 de diciembre, por la que se establecen medidas de lucha contra la morosidad en las operaciones comerciales, en la que se incluirá, a menos, de acuerdo con la metodología establecida para el cálculo el periodo medio de pago a proveedores del Ayuntamiento, el detalle del periodo medio de pago global a proveedores y del periodo medio de pago mensual y acumulado a proveedores así como las operaciones pagadas y pendientes de pago de cada entidad.</w:t>
      </w:r>
    </w:p>
    <w:p w14:paraId="01C712F1" w14:textId="77777777" w:rsidR="004D34BB" w:rsidRPr="0025310D" w:rsidRDefault="004D34BB" w:rsidP="0025310D">
      <w:pPr>
        <w:spacing w:before="100" w:beforeAutospacing="1" w:after="100" w:afterAutospacing="1"/>
        <w:ind w:firstLine="709"/>
        <w:jc w:val="both"/>
        <w:rPr>
          <w:sz w:val="24"/>
        </w:rPr>
      </w:pPr>
      <w:r w:rsidRPr="0025310D">
        <w:rPr>
          <w:sz w:val="24"/>
        </w:rPr>
        <w:lastRenderedPageBreak/>
        <w:t xml:space="preserve">En suma, el informe trimestral </w:t>
      </w:r>
      <w:r w:rsidR="00A37E06" w:rsidRPr="0025310D">
        <w:rPr>
          <w:sz w:val="24"/>
        </w:rPr>
        <w:t xml:space="preserve">de morosidad </w:t>
      </w:r>
      <w:r w:rsidRPr="0025310D">
        <w:rPr>
          <w:sz w:val="24"/>
        </w:rPr>
        <w:t>contemplará la siguiente información:</w:t>
      </w:r>
    </w:p>
    <w:p w14:paraId="4D2E63B8" w14:textId="77777777" w:rsidR="004D34BB" w:rsidRPr="0025310D" w:rsidRDefault="004D34BB" w:rsidP="0025002B">
      <w:pPr>
        <w:numPr>
          <w:ilvl w:val="0"/>
          <w:numId w:val="14"/>
        </w:numPr>
        <w:spacing w:before="100" w:beforeAutospacing="1" w:after="100" w:afterAutospacing="1"/>
        <w:jc w:val="both"/>
        <w:rPr>
          <w:sz w:val="24"/>
        </w:rPr>
      </w:pPr>
      <w:r w:rsidRPr="0025310D">
        <w:rPr>
          <w:sz w:val="24"/>
        </w:rPr>
        <w:t>Pagos realizados en el trimestre</w:t>
      </w:r>
    </w:p>
    <w:p w14:paraId="07B45E38" w14:textId="77777777" w:rsidR="004D34BB" w:rsidRPr="0025310D" w:rsidRDefault="004D34BB" w:rsidP="0025002B">
      <w:pPr>
        <w:numPr>
          <w:ilvl w:val="0"/>
          <w:numId w:val="14"/>
        </w:numPr>
        <w:spacing w:before="100" w:beforeAutospacing="1" w:after="100" w:afterAutospacing="1"/>
        <w:jc w:val="both"/>
        <w:rPr>
          <w:sz w:val="24"/>
        </w:rPr>
      </w:pPr>
      <w:r w:rsidRPr="0025310D">
        <w:rPr>
          <w:sz w:val="24"/>
        </w:rPr>
        <w:t>Intereses de demora pagados en el trimestre</w:t>
      </w:r>
    </w:p>
    <w:p w14:paraId="2D8F42B1" w14:textId="77777777" w:rsidR="004D34BB" w:rsidRPr="0025310D" w:rsidRDefault="004D34BB" w:rsidP="0025002B">
      <w:pPr>
        <w:numPr>
          <w:ilvl w:val="0"/>
          <w:numId w:val="14"/>
        </w:numPr>
        <w:spacing w:before="100" w:beforeAutospacing="1" w:after="100" w:afterAutospacing="1"/>
        <w:jc w:val="both"/>
        <w:rPr>
          <w:sz w:val="24"/>
        </w:rPr>
      </w:pPr>
      <w:r w:rsidRPr="0025310D">
        <w:rPr>
          <w:sz w:val="24"/>
        </w:rPr>
        <w:t>Facturas pendientes de pago al final del trimestre</w:t>
      </w:r>
    </w:p>
    <w:p w14:paraId="157F03A7" w14:textId="77777777" w:rsidR="00180D22" w:rsidRPr="0025310D" w:rsidRDefault="00555679" w:rsidP="0025310D">
      <w:pPr>
        <w:spacing w:before="240" w:after="100" w:afterAutospacing="1"/>
        <w:ind w:firstLine="709"/>
        <w:jc w:val="both"/>
        <w:rPr>
          <w:sz w:val="24"/>
        </w:rPr>
      </w:pPr>
      <w:r w:rsidRPr="0025310D">
        <w:rPr>
          <w:sz w:val="24"/>
        </w:rPr>
        <w:t>La Administración</w:t>
      </w:r>
      <w:r w:rsidR="0049350E" w:rsidRPr="0025310D">
        <w:rPr>
          <w:sz w:val="24"/>
        </w:rPr>
        <w:t xml:space="preserve">, por tanto, </w:t>
      </w:r>
      <w:r w:rsidRPr="0025310D">
        <w:rPr>
          <w:sz w:val="24"/>
        </w:rPr>
        <w:t xml:space="preserve">dispone de un plazo máximo de treinta días contados desde el siguiente a la entrega de los bienes o prestación de los servicios para aprobar las certificaciones o documentos acreditativos de la conformidad y dispone de otros treinta días a partir de la conformidad para aprobar el pago del precio sin incurrir en mora. </w:t>
      </w:r>
    </w:p>
    <w:p w14:paraId="44BBDE08" w14:textId="77777777" w:rsidR="00A967EB" w:rsidRPr="0025310D" w:rsidRDefault="00A967EB" w:rsidP="004228E0">
      <w:pPr>
        <w:spacing w:before="100" w:beforeAutospacing="1" w:after="100" w:afterAutospacing="1"/>
        <w:ind w:firstLine="709"/>
        <w:jc w:val="both"/>
        <w:rPr>
          <w:b/>
          <w:i/>
          <w:sz w:val="24"/>
        </w:rPr>
      </w:pPr>
      <w:r w:rsidRPr="0025310D">
        <w:rPr>
          <w:sz w:val="24"/>
        </w:rPr>
        <w:t>De esta manera</w:t>
      </w:r>
      <w:r w:rsidR="0068001A" w:rsidRPr="0025310D">
        <w:rPr>
          <w:sz w:val="24"/>
        </w:rPr>
        <w:t xml:space="preserve"> debemos recordar que </w:t>
      </w:r>
      <w:r w:rsidRPr="0025310D">
        <w:rPr>
          <w:sz w:val="24"/>
        </w:rPr>
        <w:t>queda</w:t>
      </w:r>
      <w:r w:rsidR="0057049C" w:rsidRPr="0025310D">
        <w:rPr>
          <w:sz w:val="24"/>
        </w:rPr>
        <w:t>rían</w:t>
      </w:r>
      <w:r w:rsidRPr="0025310D">
        <w:rPr>
          <w:sz w:val="24"/>
        </w:rPr>
        <w:t xml:space="preserve"> fuera del ámbito de la Ley 3/2004, de 29 de diciembre, por la que se establecen medidas de lucha contra la morosidad en las operaciones comerciales</w:t>
      </w:r>
      <w:r w:rsidR="0057049C" w:rsidRPr="0025310D">
        <w:rPr>
          <w:sz w:val="24"/>
        </w:rPr>
        <w:t>,</w:t>
      </w:r>
      <w:r w:rsidRPr="0025310D">
        <w:rPr>
          <w:sz w:val="24"/>
        </w:rPr>
        <w:t xml:space="preserve"> las operaciones que no están basadas en una relación comercial, tales como las que son consecuencia de relación estatutaria y de personal o las que son consecuencia de la potestad expropiatoria</w:t>
      </w:r>
      <w:r w:rsidR="00C21A2F" w:rsidRPr="0025310D">
        <w:rPr>
          <w:sz w:val="24"/>
        </w:rPr>
        <w:t>, o sea,</w:t>
      </w:r>
      <w:r w:rsidR="0068001A" w:rsidRPr="0025310D">
        <w:rPr>
          <w:sz w:val="24"/>
        </w:rPr>
        <w:t xml:space="preserve"> </w:t>
      </w:r>
      <w:r w:rsidR="0057049C" w:rsidRPr="0025310D">
        <w:rPr>
          <w:sz w:val="24"/>
        </w:rPr>
        <w:t xml:space="preserve">y </w:t>
      </w:r>
      <w:r w:rsidR="0068001A" w:rsidRPr="0025310D">
        <w:rPr>
          <w:sz w:val="24"/>
        </w:rPr>
        <w:t>como conclusión</w:t>
      </w:r>
      <w:r w:rsidR="00C21A2F" w:rsidRPr="0025310D">
        <w:rPr>
          <w:sz w:val="24"/>
        </w:rPr>
        <w:t xml:space="preserve"> el ámbito objetivo de la obligación de emisión de</w:t>
      </w:r>
      <w:r w:rsidR="0068001A" w:rsidRPr="0025310D">
        <w:rPr>
          <w:sz w:val="24"/>
        </w:rPr>
        <w:t xml:space="preserve"> este</w:t>
      </w:r>
      <w:r w:rsidR="00C21A2F" w:rsidRPr="0025310D">
        <w:rPr>
          <w:sz w:val="24"/>
        </w:rPr>
        <w:t xml:space="preserve"> informe trimestral de morosidad son las operaciones comerciales.</w:t>
      </w:r>
    </w:p>
    <w:p w14:paraId="3E021C46" w14:textId="77777777" w:rsidR="00A3019A" w:rsidRPr="0025310D" w:rsidRDefault="00180D22" w:rsidP="0025310D">
      <w:pPr>
        <w:spacing w:before="360" w:after="100" w:afterAutospacing="1"/>
        <w:jc w:val="both"/>
        <w:rPr>
          <w:b/>
          <w:sz w:val="24"/>
        </w:rPr>
      </w:pPr>
      <w:r w:rsidRPr="0025310D">
        <w:rPr>
          <w:b/>
          <w:sz w:val="24"/>
          <w:u w:val="single"/>
        </w:rPr>
        <w:t>SEGUNDO:</w:t>
      </w:r>
      <w:r w:rsidRPr="0025310D">
        <w:rPr>
          <w:b/>
          <w:sz w:val="24"/>
        </w:rPr>
        <w:t xml:space="preserve"> </w:t>
      </w:r>
    </w:p>
    <w:p w14:paraId="0BF51E0F" w14:textId="77777777" w:rsidR="00180D22" w:rsidRPr="0025310D" w:rsidRDefault="00180D22" w:rsidP="00F0671B">
      <w:pPr>
        <w:spacing w:before="240" w:after="100" w:afterAutospacing="1"/>
        <w:jc w:val="both"/>
        <w:rPr>
          <w:b/>
          <w:sz w:val="24"/>
        </w:rPr>
      </w:pPr>
      <w:r w:rsidRPr="0025310D">
        <w:rPr>
          <w:b/>
          <w:sz w:val="24"/>
        </w:rPr>
        <w:t>INFORME CUMPLIMIENTO DE PLAZOS</w:t>
      </w:r>
    </w:p>
    <w:p w14:paraId="678EA674" w14:textId="1FCA342E" w:rsidR="00180D22" w:rsidRPr="0025310D" w:rsidRDefault="00180D22" w:rsidP="00F0671B">
      <w:pPr>
        <w:spacing w:before="240" w:after="100" w:afterAutospacing="1"/>
        <w:ind w:firstLine="708"/>
        <w:jc w:val="both"/>
        <w:rPr>
          <w:sz w:val="24"/>
        </w:rPr>
      </w:pPr>
      <w:r w:rsidRPr="0025310D">
        <w:rPr>
          <w:sz w:val="24"/>
        </w:rPr>
        <w:t>Como mecanismo de</w:t>
      </w:r>
      <w:r w:rsidR="0049350E" w:rsidRPr="0025310D">
        <w:rPr>
          <w:sz w:val="24"/>
        </w:rPr>
        <w:t xml:space="preserve"> control y</w:t>
      </w:r>
      <w:r w:rsidRPr="0025310D">
        <w:rPr>
          <w:sz w:val="24"/>
        </w:rPr>
        <w:t xml:space="preserve"> transparencia en el cumplimiento de dichas obligaciones de plazos de pago, la mencionada Ley establece que se rindan informes</w:t>
      </w:r>
      <w:r w:rsidR="0049350E" w:rsidRPr="0025310D">
        <w:rPr>
          <w:sz w:val="24"/>
        </w:rPr>
        <w:t xml:space="preserve"> trimestrales</w:t>
      </w:r>
      <w:r w:rsidRPr="0025310D">
        <w:rPr>
          <w:sz w:val="24"/>
        </w:rPr>
        <w:t xml:space="preserve"> periódi</w:t>
      </w:r>
      <w:r w:rsidR="00607681" w:rsidRPr="0025310D">
        <w:rPr>
          <w:sz w:val="24"/>
        </w:rPr>
        <w:t>cos. En cuanto a esta Tesorería</w:t>
      </w:r>
      <w:r w:rsidRPr="0025310D">
        <w:rPr>
          <w:sz w:val="24"/>
        </w:rPr>
        <w:t xml:space="preserve"> concierne, el artículo cuarto de la misma, en sus apartados 3 y 4, establece:</w:t>
      </w:r>
    </w:p>
    <w:p w14:paraId="6D66DDDE" w14:textId="63E90F1C" w:rsidR="00180D22" w:rsidRPr="0025310D" w:rsidRDefault="00180D22" w:rsidP="00F0671B">
      <w:pPr>
        <w:spacing w:before="240" w:after="100" w:afterAutospacing="1"/>
        <w:ind w:left="720" w:firstLine="696"/>
        <w:jc w:val="both"/>
        <w:rPr>
          <w:b/>
          <w:i/>
          <w:u w:val="single"/>
        </w:rPr>
      </w:pPr>
      <w:r w:rsidRPr="0025310D">
        <w:rPr>
          <w:i/>
        </w:rPr>
        <w:t xml:space="preserve">“3.- Los Tesoreros, o, en su defecto, Interventores de las Corporaciones locales, </w:t>
      </w:r>
      <w:r w:rsidRPr="0025310D">
        <w:rPr>
          <w:b/>
          <w:i/>
        </w:rPr>
        <w:t>elaborarán trimestralmente un informe sobre el cumplimiento de los plazos previstos en esta Ley para el pago de las obligaciones de cada Entidad local</w:t>
      </w:r>
      <w:r w:rsidRPr="0025310D">
        <w:rPr>
          <w:i/>
        </w:rPr>
        <w:t xml:space="preserve">, que incluirá necesariamente </w:t>
      </w:r>
      <w:r w:rsidRPr="0025310D">
        <w:rPr>
          <w:b/>
          <w:i/>
          <w:u w:val="single"/>
        </w:rPr>
        <w:t>el número y cuantía global de las obligaciones pendientes en las que se esté incumpliendo el plazo.</w:t>
      </w:r>
    </w:p>
    <w:p w14:paraId="116E480D" w14:textId="7EF57E8F" w:rsidR="00180D22" w:rsidRPr="0025310D" w:rsidRDefault="00180D22" w:rsidP="00F0671B">
      <w:pPr>
        <w:spacing w:before="240" w:after="100" w:afterAutospacing="1"/>
        <w:ind w:left="720" w:firstLine="696"/>
        <w:jc w:val="both"/>
        <w:rPr>
          <w:i/>
        </w:rPr>
      </w:pPr>
      <w:r w:rsidRPr="0025310D">
        <w:rPr>
          <w:i/>
        </w:rPr>
        <w:t xml:space="preserve">4.- Sin perjuicio de su posible presentación y debate en el Pleno de </w:t>
      </w:r>
      <w:smartTag w:uri="urn:schemas-microsoft-com:office:smarttags" w:element="PersonName">
        <w:smartTagPr>
          <w:attr w:name="ProductID" w:val="la Corporaci￳n"/>
        </w:smartTagPr>
        <w:r w:rsidRPr="0025310D">
          <w:rPr>
            <w:i/>
          </w:rPr>
          <w:t>la Corporación</w:t>
        </w:r>
      </w:smartTag>
      <w:r w:rsidRPr="0025310D">
        <w:rPr>
          <w:i/>
        </w:rPr>
        <w:t xml:space="preserve"> local, </w:t>
      </w:r>
      <w:r w:rsidRPr="0025310D">
        <w:rPr>
          <w:b/>
          <w:i/>
        </w:rPr>
        <w:t>dicho informe deberá remitirse, en todo caso, a los órganos competentes del Ministerio de Economía y Hacienda</w:t>
      </w:r>
      <w:r w:rsidRPr="0025310D">
        <w:rPr>
          <w:i/>
        </w:rPr>
        <w:t xml:space="preserve"> y, en su respectivo ámbito territorial, a los de las Comunidades Autónomas que, con arreglo a sus respectivos Estatutos de Autonomía, tengan atribuida la tutela financiera de las Entidades locales. …”</w:t>
      </w:r>
    </w:p>
    <w:p w14:paraId="6FFCDE5C" w14:textId="2B407C30" w:rsidR="00180D22" w:rsidRPr="0025310D" w:rsidRDefault="00180D22" w:rsidP="00F0671B">
      <w:pPr>
        <w:spacing w:before="240" w:after="100" w:afterAutospacing="1"/>
        <w:ind w:firstLine="708"/>
        <w:jc w:val="both"/>
        <w:rPr>
          <w:sz w:val="24"/>
        </w:rPr>
      </w:pPr>
      <w:r w:rsidRPr="0025310D">
        <w:rPr>
          <w:sz w:val="24"/>
        </w:rPr>
        <w:t xml:space="preserve">Este informe, por lo tanto, se emite en virtud de la obligación personal establecida en el artículo cuarto.3 de </w:t>
      </w:r>
      <w:smartTag w:uri="urn:schemas-microsoft-com:office:smarttags" w:element="PersonName">
        <w:smartTagPr>
          <w:attr w:name="ProductID" w:val="La Ley"/>
        </w:smartTagPr>
        <w:r w:rsidRPr="0025310D">
          <w:rPr>
            <w:sz w:val="24"/>
          </w:rPr>
          <w:t>la Ley</w:t>
        </w:r>
      </w:smartTag>
      <w:r w:rsidRPr="0025310D">
        <w:rPr>
          <w:sz w:val="24"/>
        </w:rPr>
        <w:t xml:space="preserve"> 15/2010</w:t>
      </w:r>
      <w:r w:rsidR="00C21A2F" w:rsidRPr="0025310D">
        <w:rPr>
          <w:sz w:val="24"/>
        </w:rPr>
        <w:t xml:space="preserve"> de modificación de la ley 3/2004 </w:t>
      </w:r>
      <w:r w:rsidRPr="0025310D">
        <w:rPr>
          <w:sz w:val="24"/>
        </w:rPr>
        <w:t>anteriormente citado.</w:t>
      </w:r>
    </w:p>
    <w:p w14:paraId="2A3DA04B" w14:textId="2B05288A" w:rsidR="00607681" w:rsidRPr="0025310D" w:rsidRDefault="00413E62" w:rsidP="00F0671B">
      <w:pPr>
        <w:autoSpaceDE w:val="0"/>
        <w:autoSpaceDN w:val="0"/>
        <w:adjustRightInd w:val="0"/>
        <w:spacing w:before="100" w:beforeAutospacing="1" w:after="100" w:afterAutospacing="1"/>
        <w:ind w:firstLine="708"/>
        <w:jc w:val="both"/>
        <w:rPr>
          <w:sz w:val="24"/>
        </w:rPr>
      </w:pPr>
      <w:r w:rsidRPr="0025310D">
        <w:rPr>
          <w:sz w:val="24"/>
        </w:rPr>
        <w:t>Este informe</w:t>
      </w:r>
      <w:r w:rsidR="00180D22" w:rsidRPr="0025310D">
        <w:rPr>
          <w:sz w:val="24"/>
        </w:rPr>
        <w:t xml:space="preserve"> abarcará</w:t>
      </w:r>
      <w:r w:rsidR="00607681" w:rsidRPr="0025310D">
        <w:rPr>
          <w:sz w:val="24"/>
        </w:rPr>
        <w:t xml:space="preserve"> el periodo del</w:t>
      </w:r>
      <w:r w:rsidR="00DF0389" w:rsidRPr="0025310D">
        <w:rPr>
          <w:sz w:val="24"/>
        </w:rPr>
        <w:t xml:space="preserve"> </w:t>
      </w:r>
      <w:r w:rsidR="00A3019A" w:rsidRPr="0025310D">
        <w:rPr>
          <w:sz w:val="24"/>
        </w:rPr>
        <w:t>primer trimestre del ejercicio de 2025 (01.01.2025 hasta 31.03.2025) e incluye todas las operaciones registradas y disponibles en la contabilidad municipal.</w:t>
      </w:r>
    </w:p>
    <w:p w14:paraId="1BB9EBC1" w14:textId="77777777" w:rsidR="00A3019A" w:rsidRPr="0025310D" w:rsidRDefault="00607681" w:rsidP="0025310D">
      <w:pPr>
        <w:spacing w:before="360" w:after="100" w:afterAutospacing="1"/>
        <w:jc w:val="both"/>
        <w:rPr>
          <w:b/>
          <w:sz w:val="24"/>
          <w:u w:val="single"/>
        </w:rPr>
      </w:pPr>
      <w:r w:rsidRPr="0025310D">
        <w:rPr>
          <w:b/>
          <w:sz w:val="24"/>
          <w:u w:val="single"/>
        </w:rPr>
        <w:t>TERCERO</w:t>
      </w:r>
      <w:r w:rsidR="00180D22" w:rsidRPr="0025310D">
        <w:rPr>
          <w:b/>
          <w:sz w:val="24"/>
          <w:u w:val="single"/>
        </w:rPr>
        <w:t>:</w:t>
      </w:r>
    </w:p>
    <w:p w14:paraId="07A486DF" w14:textId="77777777" w:rsidR="00180D22" w:rsidRPr="0025310D" w:rsidRDefault="00180D22" w:rsidP="00F0671B">
      <w:pPr>
        <w:spacing w:before="240" w:after="100" w:afterAutospacing="1"/>
        <w:jc w:val="both"/>
        <w:rPr>
          <w:b/>
          <w:sz w:val="24"/>
        </w:rPr>
      </w:pPr>
      <w:r w:rsidRPr="0025310D">
        <w:rPr>
          <w:b/>
          <w:sz w:val="24"/>
        </w:rPr>
        <w:t>AMBITOS OBJETIVO Y SUBJETIVO</w:t>
      </w:r>
    </w:p>
    <w:p w14:paraId="42EE7A69" w14:textId="7FF101E2" w:rsidR="00180D22" w:rsidRPr="0025310D" w:rsidRDefault="00180D22" w:rsidP="00F0671B">
      <w:pPr>
        <w:spacing w:before="240" w:after="100" w:afterAutospacing="1"/>
        <w:ind w:firstLine="360"/>
        <w:jc w:val="both"/>
        <w:rPr>
          <w:sz w:val="24"/>
          <w:szCs w:val="24"/>
        </w:rPr>
      </w:pPr>
      <w:r w:rsidRPr="0025310D">
        <w:rPr>
          <w:sz w:val="24"/>
        </w:rPr>
        <w:t xml:space="preserve">El ámbito de aplicación de </w:t>
      </w:r>
      <w:smartTag w:uri="urn:schemas-microsoft-com:office:smarttags" w:element="PersonName">
        <w:smartTagPr>
          <w:attr w:name="ProductID" w:val="La Ley"/>
        </w:smartTagPr>
        <w:r w:rsidRPr="0025310D">
          <w:rPr>
            <w:sz w:val="24"/>
          </w:rPr>
          <w:t>la Ley</w:t>
        </w:r>
      </w:smartTag>
      <w:r w:rsidRPr="0025310D">
        <w:rPr>
          <w:sz w:val="24"/>
        </w:rPr>
        <w:t xml:space="preserve"> 15/2010 que impone tal obligación de información se ciñe, (de conformidad con lo contemplado en el artículo 1.2 que modifica el artículo 3 de </w:t>
      </w:r>
      <w:smartTag w:uri="urn:schemas-microsoft-com:office:smarttags" w:element="PersonName">
        <w:smartTagPr>
          <w:attr w:name="ProductID" w:val="La Ley"/>
        </w:smartTagPr>
        <w:r w:rsidRPr="0025310D">
          <w:rPr>
            <w:sz w:val="24"/>
          </w:rPr>
          <w:t>la Ley</w:t>
        </w:r>
      </w:smartTag>
      <w:r w:rsidRPr="0025310D">
        <w:rPr>
          <w:sz w:val="24"/>
        </w:rPr>
        <w:t xml:space="preserve"> 3/2</w:t>
      </w:r>
      <w:r w:rsidR="00A3019A" w:rsidRPr="0025310D">
        <w:rPr>
          <w:sz w:val="24"/>
        </w:rPr>
        <w:t>00</w:t>
      </w:r>
      <w:r w:rsidRPr="0025310D">
        <w:rPr>
          <w:sz w:val="24"/>
        </w:rPr>
        <w:t xml:space="preserve">4, por la que se establecen medidas de lucha contra la morosidad en las operaciones comerciales), a los pagos efectuados </w:t>
      </w:r>
      <w:r w:rsidRPr="0025310D">
        <w:rPr>
          <w:sz w:val="24"/>
        </w:rPr>
        <w:lastRenderedPageBreak/>
        <w:t xml:space="preserve">como contraprestación en las operaciones comerciales realizadas entre empresas y </w:t>
      </w:r>
      <w:smartTag w:uri="urn:schemas-microsoft-com:office:smarttags" w:element="PersonName">
        <w:smartTagPr>
          <w:attr w:name="ProductID" w:val="La Administraci￳n"/>
        </w:smartTagPr>
        <w:r w:rsidRPr="0025310D">
          <w:rPr>
            <w:sz w:val="24"/>
          </w:rPr>
          <w:t>la Administración</w:t>
        </w:r>
      </w:smartTag>
      <w:r w:rsidRPr="0025310D">
        <w:rPr>
          <w:sz w:val="24"/>
        </w:rPr>
        <w:t xml:space="preserve">,  de conformidad con lo dispuesto en </w:t>
      </w:r>
      <w:smartTag w:uri="urn:schemas-microsoft-com:office:smarttags" w:element="PersonName">
        <w:smartTagPr>
          <w:attr w:name="ProductID" w:val="La Ley"/>
        </w:smartTagPr>
        <w:r w:rsidRPr="0025310D">
          <w:rPr>
            <w:sz w:val="24"/>
          </w:rPr>
          <w:t>la Ley</w:t>
        </w:r>
      </w:smartTag>
      <w:r w:rsidRPr="0025310D">
        <w:rPr>
          <w:sz w:val="24"/>
        </w:rPr>
        <w:t xml:space="preserve"> </w:t>
      </w:r>
      <w:r w:rsidR="00A3019A" w:rsidRPr="0025310D">
        <w:rPr>
          <w:sz w:val="24"/>
        </w:rPr>
        <w:t>9/2017 de 8 de noviembre de contratos del sector público, por la que se transponen al ordenamiento jurídico español las Directivas del Parlamento Europeo y del Consejo 2014/23/UE y 2014/24/UE de 26 de febrero de 2014.</w:t>
      </w:r>
    </w:p>
    <w:p w14:paraId="7FD20B43" w14:textId="77777777" w:rsidR="00DB5ECD" w:rsidRPr="0025310D" w:rsidRDefault="00DB5ECD" w:rsidP="007F1FBA">
      <w:pPr>
        <w:spacing w:before="240" w:after="100" w:afterAutospacing="1"/>
        <w:ind w:firstLine="360"/>
        <w:rPr>
          <w:sz w:val="24"/>
          <w:szCs w:val="24"/>
        </w:rPr>
      </w:pPr>
      <w:r w:rsidRPr="0025310D">
        <w:rPr>
          <w:sz w:val="24"/>
          <w:szCs w:val="24"/>
        </w:rPr>
        <w:t>Los informes</w:t>
      </w:r>
      <w:r w:rsidR="00D04436" w:rsidRPr="0025310D">
        <w:rPr>
          <w:sz w:val="24"/>
          <w:szCs w:val="24"/>
        </w:rPr>
        <w:t xml:space="preserve"> exigidos por la </w:t>
      </w:r>
      <w:r w:rsidR="00A3019A" w:rsidRPr="0025310D">
        <w:rPr>
          <w:sz w:val="24"/>
          <w:szCs w:val="24"/>
        </w:rPr>
        <w:t>Guía recuperan</w:t>
      </w:r>
      <w:r w:rsidRPr="0025310D">
        <w:rPr>
          <w:sz w:val="24"/>
          <w:szCs w:val="24"/>
        </w:rPr>
        <w:t xml:space="preserve"> la siguiente información</w:t>
      </w:r>
      <w:r w:rsidR="004D34BB" w:rsidRPr="0025310D">
        <w:rPr>
          <w:sz w:val="24"/>
          <w:szCs w:val="24"/>
        </w:rPr>
        <w:t xml:space="preserve"> (ver apartado primero)</w:t>
      </w:r>
    </w:p>
    <w:p w14:paraId="3806FBC2" w14:textId="77777777" w:rsidR="00DB5ECD" w:rsidRPr="0025310D" w:rsidRDefault="00555679" w:rsidP="007F1FBA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5310D">
        <w:rPr>
          <w:sz w:val="24"/>
          <w:szCs w:val="24"/>
        </w:rPr>
        <w:t>Totalidad de los p</w:t>
      </w:r>
      <w:r w:rsidR="00DB5ECD" w:rsidRPr="0025310D">
        <w:rPr>
          <w:sz w:val="24"/>
          <w:szCs w:val="24"/>
        </w:rPr>
        <w:t xml:space="preserve">agos realizados en el trimestre </w:t>
      </w:r>
    </w:p>
    <w:p w14:paraId="7EF50309" w14:textId="77777777" w:rsidR="00DB5ECD" w:rsidRPr="0025310D" w:rsidRDefault="00DB5ECD" w:rsidP="007F1FBA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5310D">
        <w:rPr>
          <w:sz w:val="24"/>
          <w:szCs w:val="24"/>
        </w:rPr>
        <w:t>Intereses de demora pagados en el trimestre.</w:t>
      </w:r>
    </w:p>
    <w:p w14:paraId="18826E00" w14:textId="77777777" w:rsidR="00BA416F" w:rsidRPr="0025310D" w:rsidRDefault="00555679" w:rsidP="007F1FBA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5310D">
        <w:rPr>
          <w:sz w:val="24"/>
          <w:szCs w:val="24"/>
        </w:rPr>
        <w:t xml:space="preserve">Totalidad de las facturas </w:t>
      </w:r>
      <w:r w:rsidR="00DB5ECD" w:rsidRPr="0025310D">
        <w:rPr>
          <w:sz w:val="24"/>
          <w:szCs w:val="24"/>
        </w:rPr>
        <w:t>pendientes de Pago al final del trimestre.</w:t>
      </w:r>
    </w:p>
    <w:p w14:paraId="0809730F" w14:textId="195800B5" w:rsidR="00DB5ECD" w:rsidRPr="0025310D" w:rsidRDefault="00DB5ECD" w:rsidP="007F1FBA">
      <w:pPr>
        <w:spacing w:before="600" w:after="100" w:afterAutospacing="1"/>
        <w:rPr>
          <w:sz w:val="24"/>
          <w:szCs w:val="24"/>
        </w:rPr>
      </w:pPr>
      <w:r w:rsidRPr="0025310D">
        <w:rPr>
          <w:sz w:val="24"/>
          <w:szCs w:val="24"/>
        </w:rPr>
        <w:t xml:space="preserve">Puede descargarse la documentación relacionada con esta guía en el enlace: </w:t>
      </w:r>
    </w:p>
    <w:p w14:paraId="20D12A69" w14:textId="77777777" w:rsidR="00A3019A" w:rsidRPr="0025310D" w:rsidRDefault="00607681" w:rsidP="006B1226">
      <w:pPr>
        <w:spacing w:before="480" w:after="100" w:afterAutospacing="1"/>
        <w:jc w:val="both"/>
        <w:rPr>
          <w:sz w:val="24"/>
        </w:rPr>
      </w:pPr>
      <w:r w:rsidRPr="0025310D">
        <w:rPr>
          <w:b/>
          <w:sz w:val="24"/>
          <w:u w:val="single"/>
        </w:rPr>
        <w:t>CUARTO</w:t>
      </w:r>
      <w:r w:rsidR="00180D22" w:rsidRPr="0025310D">
        <w:rPr>
          <w:sz w:val="24"/>
        </w:rPr>
        <w:t xml:space="preserve">: </w:t>
      </w:r>
    </w:p>
    <w:p w14:paraId="36EC275E" w14:textId="77777777" w:rsidR="00180D22" w:rsidRPr="0025310D" w:rsidRDefault="00180D22" w:rsidP="00FD35CB">
      <w:pPr>
        <w:spacing w:before="240" w:after="100" w:afterAutospacing="1"/>
        <w:jc w:val="both"/>
        <w:rPr>
          <w:b/>
          <w:sz w:val="24"/>
        </w:rPr>
      </w:pPr>
      <w:r w:rsidRPr="0025310D">
        <w:rPr>
          <w:b/>
          <w:sz w:val="24"/>
        </w:rPr>
        <w:t>CONTENIDO DEL INFORME</w:t>
      </w:r>
    </w:p>
    <w:p w14:paraId="05EA3F3B" w14:textId="5FDD97E4" w:rsidR="00A3019A" w:rsidRPr="0025310D" w:rsidRDefault="00A3019A" w:rsidP="00FD35CB">
      <w:pPr>
        <w:spacing w:before="240" w:after="100" w:afterAutospacing="1"/>
        <w:jc w:val="both"/>
        <w:rPr>
          <w:b/>
          <w:sz w:val="24"/>
        </w:rPr>
      </w:pPr>
      <w:r w:rsidRPr="0025310D">
        <w:rPr>
          <w:b/>
          <w:sz w:val="24"/>
        </w:rPr>
        <w:t>Informe de Pagos realizados en el Trimestre</w:t>
      </w:r>
    </w:p>
    <w:p w14:paraId="4CF05192" w14:textId="5318E4C3" w:rsidR="00DB0713" w:rsidRPr="0025310D" w:rsidRDefault="00A3019A" w:rsidP="005C4BE0">
      <w:pPr>
        <w:spacing w:after="360"/>
        <w:jc w:val="both"/>
        <w:rPr>
          <w:b/>
          <w:sz w:val="24"/>
        </w:rPr>
      </w:pPr>
      <w:r w:rsidRPr="0025310D">
        <w:rPr>
          <w:b/>
          <w:sz w:val="24"/>
        </w:rPr>
        <w:t>Formato del listado</w:t>
      </w:r>
    </w:p>
    <w:p w14:paraId="3A7622DC" w14:textId="70E90790" w:rsidR="00DB0713" w:rsidRPr="0025310D" w:rsidRDefault="00F73EF6" w:rsidP="00635DAC">
      <w:pPr>
        <w:spacing w:before="100" w:beforeAutospacing="1" w:after="100" w:afterAutospacing="1"/>
        <w:jc w:val="center"/>
        <w:rPr>
          <w:sz w:val="24"/>
        </w:rPr>
      </w:pPr>
      <w:r>
        <w:rPr>
          <w:noProof/>
          <w:sz w:val="24"/>
          <w:lang w:val="es-ES_tradnl" w:eastAsia="es-ES_tradnl"/>
        </w:rPr>
        <w:drawing>
          <wp:inline distT="0" distB="0" distL="0" distR="0" wp14:anchorId="58ED9D8F" wp14:editId="17B409CF">
            <wp:extent cx="6343650" cy="3257550"/>
            <wp:effectExtent l="0" t="0" r="0" b="0"/>
            <wp:docPr id="1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C42DC" w14:textId="77777777" w:rsidR="00DB0713" w:rsidRPr="0025310D" w:rsidRDefault="00DB0713" w:rsidP="001F3041">
      <w:pPr>
        <w:keepNext/>
        <w:autoSpaceDE w:val="0"/>
        <w:autoSpaceDN w:val="0"/>
        <w:adjustRightInd w:val="0"/>
        <w:spacing w:before="360" w:after="240"/>
        <w:jc w:val="both"/>
        <w:rPr>
          <w:sz w:val="24"/>
          <w:szCs w:val="24"/>
        </w:rPr>
      </w:pPr>
      <w:r w:rsidRPr="0025310D">
        <w:rPr>
          <w:sz w:val="24"/>
          <w:szCs w:val="24"/>
        </w:rPr>
        <w:lastRenderedPageBreak/>
        <w:t>Cálculo de Periodo Medio:</w:t>
      </w:r>
    </w:p>
    <w:p w14:paraId="2D5E06AB" w14:textId="77777777" w:rsidR="00DB0713" w:rsidRPr="0025310D" w:rsidRDefault="00DB0713" w:rsidP="001F3041">
      <w:pPr>
        <w:keepNext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</w:rPr>
      </w:pPr>
      <w:r w:rsidRPr="0025310D">
        <w:rPr>
          <w:sz w:val="24"/>
          <w:szCs w:val="24"/>
        </w:rPr>
        <w:t xml:space="preserve">La columna de </w:t>
      </w:r>
      <w:r w:rsidRPr="0025310D">
        <w:rPr>
          <w:b/>
          <w:bCs/>
          <w:sz w:val="24"/>
          <w:szCs w:val="24"/>
        </w:rPr>
        <w:t xml:space="preserve">Periodo Medio de Pago (PMP), </w:t>
      </w:r>
      <w:r w:rsidRPr="0025310D">
        <w:rPr>
          <w:sz w:val="24"/>
          <w:szCs w:val="24"/>
        </w:rPr>
        <w:t>se calculará utilizando la siguiente fórmula:</w:t>
      </w:r>
    </w:p>
    <w:p w14:paraId="2F3A72DF" w14:textId="4AF7E8F0" w:rsidR="00DB0713" w:rsidRPr="0025310D" w:rsidRDefault="00F73EF6" w:rsidP="001F3041">
      <w:pPr>
        <w:keepNext/>
        <w:spacing w:before="240" w:after="120"/>
        <w:rPr>
          <w:sz w:val="24"/>
        </w:rPr>
      </w:pPr>
      <w:r>
        <w:rPr>
          <w:noProof/>
          <w:sz w:val="24"/>
          <w:lang w:val="es-ES_tradnl" w:eastAsia="es-ES_tradnl"/>
        </w:rPr>
        <w:drawing>
          <wp:inline distT="0" distB="0" distL="0" distR="0" wp14:anchorId="1A0BE9D2" wp14:editId="7B0A0893">
            <wp:extent cx="6391275" cy="647700"/>
            <wp:effectExtent l="0" t="0" r="0" b="0"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88C7A" w14:textId="77777777" w:rsidR="00DB0713" w:rsidRPr="0025310D" w:rsidRDefault="00DB0713" w:rsidP="00665A79">
      <w:pPr>
        <w:keepNext/>
        <w:autoSpaceDE w:val="0"/>
        <w:autoSpaceDN w:val="0"/>
        <w:adjustRightInd w:val="0"/>
        <w:spacing w:before="240" w:after="360"/>
        <w:ind w:right="139"/>
        <w:jc w:val="both"/>
        <w:rPr>
          <w:sz w:val="24"/>
          <w:szCs w:val="24"/>
        </w:rPr>
      </w:pPr>
      <w:proofErr w:type="spellStart"/>
      <w:r w:rsidRPr="0025310D">
        <w:rPr>
          <w:sz w:val="24"/>
          <w:szCs w:val="24"/>
        </w:rPr>
        <w:t>Nº</w:t>
      </w:r>
      <w:proofErr w:type="spellEnd"/>
      <w:r w:rsidRPr="0025310D">
        <w:rPr>
          <w:sz w:val="24"/>
          <w:szCs w:val="24"/>
        </w:rPr>
        <w:t xml:space="preserve"> de días de periodo de pago = (Fecha de pago – Fecha de entrada en el registro de facturas) calculado en </w:t>
      </w:r>
      <w:proofErr w:type="spellStart"/>
      <w:r w:rsidRPr="0025310D">
        <w:rPr>
          <w:sz w:val="24"/>
          <w:szCs w:val="24"/>
        </w:rPr>
        <w:t>nº</w:t>
      </w:r>
      <w:proofErr w:type="spellEnd"/>
      <w:r w:rsidRPr="0025310D">
        <w:rPr>
          <w:sz w:val="24"/>
          <w:szCs w:val="24"/>
        </w:rPr>
        <w:t xml:space="preserve"> de días.</w:t>
      </w:r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D708A5" w14:paraId="4DB0AC76" w14:textId="77777777" w:rsidTr="0000339D">
        <w:trPr>
          <w:jc w:val="center"/>
        </w:trPr>
        <w:tc>
          <w:tcPr>
            <w:tcW w:w="9995" w:type="dxa"/>
            <w:tcFitText/>
            <w:vAlign w:val="center"/>
          </w:tcPr>
          <w:p w14:paraId="28EE0132" w14:textId="24298938" w:rsidR="00FD35CB" w:rsidRDefault="001371A6" w:rsidP="00E74A4D">
            <w:pPr>
              <w:keepNext/>
              <w:autoSpaceDE w:val="0"/>
              <w:autoSpaceDN w:val="0"/>
              <w:adjustRightInd w:val="0"/>
              <w:spacing w:before="100" w:beforeAutospacing="1" w:after="100" w:afterAutospacing="1"/>
              <w:ind w:left="-41"/>
              <w:jc w:val="center"/>
              <w:rPr>
                <w:sz w:val="24"/>
                <w:szCs w:val="24"/>
              </w:rPr>
            </w:pPr>
            <w:r w:rsidRPr="001371A6">
              <w:rPr>
                <w:noProof/>
                <w:sz w:val="24"/>
                <w:szCs w:val="24"/>
              </w:rPr>
              <w:drawing>
                <wp:inline distT="0" distB="0" distL="0" distR="0" wp14:anchorId="6881F073" wp14:editId="5BF25413">
                  <wp:extent cx="6209665" cy="2561590"/>
                  <wp:effectExtent l="0" t="0" r="635" b="0"/>
                  <wp:docPr id="125947112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47112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9665" cy="2561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DA3278" w14:textId="7D0CEBFF" w:rsidR="00DB0713" w:rsidRPr="0025310D" w:rsidRDefault="00DB0713" w:rsidP="006A2C2A">
      <w:pPr>
        <w:keepNext/>
        <w:autoSpaceDE w:val="0"/>
        <w:autoSpaceDN w:val="0"/>
        <w:adjustRightInd w:val="0"/>
        <w:spacing w:before="600" w:after="100" w:afterAutospacing="1"/>
        <w:rPr>
          <w:b/>
          <w:bCs/>
          <w:sz w:val="24"/>
          <w:szCs w:val="24"/>
        </w:rPr>
      </w:pPr>
      <w:r w:rsidRPr="0025310D">
        <w:rPr>
          <w:b/>
          <w:bCs/>
          <w:sz w:val="24"/>
          <w:szCs w:val="24"/>
        </w:rPr>
        <w:t>Informe de Intereses de Demora Pagados en el periodo</w:t>
      </w:r>
    </w:p>
    <w:p w14:paraId="32CEE7FC" w14:textId="73C689B3" w:rsidR="00DB0713" w:rsidRDefault="00DB0713" w:rsidP="006A2C2A">
      <w:pPr>
        <w:keepNext/>
        <w:spacing w:after="360"/>
        <w:jc w:val="both"/>
        <w:rPr>
          <w:b/>
          <w:bCs/>
          <w:sz w:val="24"/>
          <w:szCs w:val="24"/>
        </w:rPr>
      </w:pPr>
      <w:r w:rsidRPr="0025310D">
        <w:rPr>
          <w:b/>
          <w:bCs/>
          <w:sz w:val="24"/>
          <w:szCs w:val="24"/>
        </w:rPr>
        <w:t>Formato del listado</w:t>
      </w:r>
    </w:p>
    <w:p w14:paraId="0A3651EF" w14:textId="58411657" w:rsidR="00440778" w:rsidRPr="0025310D" w:rsidRDefault="00F73EF6" w:rsidP="00BB1258">
      <w:pPr>
        <w:keepNext/>
        <w:spacing w:after="480"/>
        <w:jc w:val="righ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2C279097" wp14:editId="3CF6845F">
            <wp:extent cx="6410325" cy="159067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0"/>
      </w:tblGrid>
      <w:tr w:rsidR="00FD0BE7" w14:paraId="707905D1" w14:textId="77777777" w:rsidTr="00E74A4D">
        <w:trPr>
          <w:jc w:val="center"/>
        </w:trPr>
        <w:tc>
          <w:tcPr>
            <w:tcW w:w="9920" w:type="dxa"/>
            <w:tcFitText/>
            <w:vAlign w:val="center"/>
          </w:tcPr>
          <w:p w14:paraId="0ECD2E61" w14:textId="3DD540FA" w:rsidR="00FD35CB" w:rsidRDefault="000B60E3" w:rsidP="00635DAC">
            <w:pPr>
              <w:keepNext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1371A6">
              <w:rPr>
                <w:b/>
                <w:bCs/>
                <w:noProof/>
                <w:sz w:val="24"/>
                <w:szCs w:val="24"/>
              </w:rPr>
              <w:lastRenderedPageBreak/>
              <w:drawing>
                <wp:inline distT="0" distB="0" distL="0" distR="0" wp14:anchorId="392A81F9" wp14:editId="2EC90E6A">
                  <wp:extent cx="6162040" cy="2065655"/>
                  <wp:effectExtent l="0" t="0" r="0" b="0"/>
                  <wp:docPr id="126621098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21098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2040" cy="206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66DDBB" w14:textId="799A0AF3" w:rsidR="00DB0713" w:rsidRPr="0025310D" w:rsidRDefault="00DB0713" w:rsidP="00FD0BE7">
      <w:pPr>
        <w:keepNext/>
        <w:spacing w:before="600" w:after="100" w:afterAutospacing="1"/>
        <w:jc w:val="both"/>
        <w:rPr>
          <w:sz w:val="24"/>
        </w:rPr>
      </w:pPr>
      <w:r w:rsidRPr="0025310D">
        <w:rPr>
          <w:b/>
          <w:bCs/>
          <w:sz w:val="24"/>
          <w:szCs w:val="24"/>
        </w:rPr>
        <w:t>Informe de Facturas o documentos justificativos pendientes de pago al final del trimestre.</w:t>
      </w:r>
    </w:p>
    <w:p w14:paraId="4B555D39" w14:textId="77777777" w:rsidR="00DB0713" w:rsidRPr="0025310D" w:rsidRDefault="00DB0713" w:rsidP="00FD0BE7">
      <w:pPr>
        <w:keepNext/>
        <w:spacing w:after="360"/>
        <w:jc w:val="both"/>
        <w:rPr>
          <w:b/>
          <w:bCs/>
          <w:sz w:val="24"/>
          <w:szCs w:val="24"/>
        </w:rPr>
      </w:pPr>
      <w:r w:rsidRPr="0025310D">
        <w:rPr>
          <w:b/>
          <w:bCs/>
          <w:sz w:val="24"/>
          <w:szCs w:val="24"/>
        </w:rPr>
        <w:t>Formato del listado.</w:t>
      </w:r>
    </w:p>
    <w:p w14:paraId="2D1229AC" w14:textId="761593D3" w:rsidR="00DB0713" w:rsidRPr="0025310D" w:rsidRDefault="00F73EF6" w:rsidP="006A2C2A">
      <w:pPr>
        <w:keepNext/>
        <w:spacing w:before="100" w:beforeAutospacing="1" w:after="100" w:afterAutospacing="1"/>
        <w:ind w:right="-2"/>
        <w:rPr>
          <w:sz w:val="24"/>
        </w:rPr>
      </w:pPr>
      <w:r>
        <w:rPr>
          <w:noProof/>
          <w:sz w:val="24"/>
          <w:lang w:val="es-ES_tradnl" w:eastAsia="es-ES_tradnl"/>
        </w:rPr>
        <w:drawing>
          <wp:inline distT="0" distB="0" distL="0" distR="0" wp14:anchorId="633402E4" wp14:editId="617C3BF8">
            <wp:extent cx="6477000" cy="3009900"/>
            <wp:effectExtent l="0" t="0" r="0" b="0"/>
            <wp:docPr id="6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56F4C" w14:textId="77777777" w:rsidR="00DB0713" w:rsidRPr="0025310D" w:rsidRDefault="00DB0713" w:rsidP="00665A79">
      <w:pPr>
        <w:keepNext/>
        <w:autoSpaceDE w:val="0"/>
        <w:autoSpaceDN w:val="0"/>
        <w:adjustRightInd w:val="0"/>
        <w:spacing w:before="240" w:after="120"/>
        <w:jc w:val="both"/>
        <w:rPr>
          <w:sz w:val="24"/>
          <w:szCs w:val="24"/>
        </w:rPr>
      </w:pPr>
      <w:r w:rsidRPr="0025310D">
        <w:rPr>
          <w:sz w:val="24"/>
          <w:szCs w:val="24"/>
        </w:rPr>
        <w:t>Cálculo de Periodo Medio:</w:t>
      </w:r>
    </w:p>
    <w:p w14:paraId="1FF7E630" w14:textId="77777777" w:rsidR="00DB0713" w:rsidRPr="0025310D" w:rsidRDefault="00DB0713" w:rsidP="00665A79">
      <w:pPr>
        <w:keepNext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</w:rPr>
      </w:pPr>
      <w:r w:rsidRPr="0025310D">
        <w:rPr>
          <w:sz w:val="24"/>
          <w:szCs w:val="24"/>
        </w:rPr>
        <w:t xml:space="preserve">La columna de </w:t>
      </w:r>
      <w:r w:rsidRPr="0025310D">
        <w:rPr>
          <w:b/>
          <w:bCs/>
          <w:sz w:val="24"/>
          <w:szCs w:val="24"/>
        </w:rPr>
        <w:t xml:space="preserve">Periodo Medio del Pendiente de Pago (PMPP), </w:t>
      </w:r>
      <w:r w:rsidRPr="0025310D">
        <w:rPr>
          <w:sz w:val="24"/>
          <w:szCs w:val="24"/>
        </w:rPr>
        <w:t>se calculará utilizando la siguiente fórmula:</w:t>
      </w:r>
    </w:p>
    <w:p w14:paraId="227335FA" w14:textId="20C24A29" w:rsidR="00DB0713" w:rsidRPr="0025310D" w:rsidRDefault="00F73EF6" w:rsidP="00684886">
      <w:pPr>
        <w:keepNext/>
        <w:spacing w:before="120" w:after="120"/>
        <w:jc w:val="center"/>
        <w:rPr>
          <w:sz w:val="24"/>
        </w:rPr>
      </w:pPr>
      <w:r>
        <w:rPr>
          <w:noProof/>
          <w:sz w:val="24"/>
          <w:lang w:val="es-ES_tradnl" w:eastAsia="es-ES_tradnl"/>
        </w:rPr>
        <w:drawing>
          <wp:inline distT="0" distB="0" distL="0" distR="0" wp14:anchorId="5D5FD24C" wp14:editId="1F15C20E">
            <wp:extent cx="5248275" cy="619125"/>
            <wp:effectExtent l="0" t="0" r="0" b="0"/>
            <wp:docPr id="7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DE26E" w14:textId="33C0B9BE" w:rsidR="00DB0713" w:rsidRPr="0025310D" w:rsidRDefault="00DB0713" w:rsidP="00665A79">
      <w:pPr>
        <w:keepNext/>
        <w:autoSpaceDE w:val="0"/>
        <w:autoSpaceDN w:val="0"/>
        <w:adjustRightInd w:val="0"/>
        <w:spacing w:before="120" w:after="360"/>
        <w:jc w:val="both"/>
        <w:rPr>
          <w:sz w:val="24"/>
          <w:szCs w:val="24"/>
        </w:rPr>
      </w:pPr>
      <w:proofErr w:type="spellStart"/>
      <w:r w:rsidRPr="0025310D">
        <w:rPr>
          <w:sz w:val="24"/>
          <w:szCs w:val="24"/>
        </w:rPr>
        <w:t>Nº</w:t>
      </w:r>
      <w:proofErr w:type="spellEnd"/>
      <w:r w:rsidRPr="0025310D">
        <w:rPr>
          <w:sz w:val="24"/>
          <w:szCs w:val="24"/>
        </w:rPr>
        <w:t xml:space="preserve"> de días pendientes de pago = (Fecha fin trimestre natural – Fecha de entrada en el registro de facturas) calculado en </w:t>
      </w:r>
      <w:proofErr w:type="spellStart"/>
      <w:r w:rsidRPr="0025310D">
        <w:rPr>
          <w:sz w:val="24"/>
          <w:szCs w:val="24"/>
        </w:rPr>
        <w:t>nº</w:t>
      </w:r>
      <w:proofErr w:type="spellEnd"/>
      <w:r w:rsidRPr="0025310D">
        <w:rPr>
          <w:sz w:val="24"/>
          <w:szCs w:val="24"/>
        </w:rPr>
        <w:t xml:space="preserve"> de días.</w:t>
      </w: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8"/>
      </w:tblGrid>
      <w:tr w:rsidR="00D708A5" w14:paraId="16893444" w14:textId="77777777" w:rsidTr="00E74A4D">
        <w:trPr>
          <w:jc w:val="center"/>
        </w:trPr>
        <w:tc>
          <w:tcPr>
            <w:tcW w:w="9978" w:type="dxa"/>
            <w:tcFitText/>
            <w:vAlign w:val="center"/>
          </w:tcPr>
          <w:p w14:paraId="32E8581E" w14:textId="5F300B79" w:rsidR="006B1226" w:rsidRDefault="001371A6">
            <w:pPr>
              <w:keepNext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71A6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51351B17" wp14:editId="7D5D1E0A">
                  <wp:extent cx="6329680" cy="3340100"/>
                  <wp:effectExtent l="0" t="0" r="0" b="0"/>
                  <wp:docPr id="36999172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99172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9680" cy="334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282E13" w14:textId="1BCD1452" w:rsidR="00FF4BA3" w:rsidRPr="0025310D" w:rsidRDefault="00607681" w:rsidP="0016667B">
      <w:pPr>
        <w:spacing w:before="480" w:after="100" w:afterAutospacing="1"/>
        <w:jc w:val="both"/>
        <w:rPr>
          <w:sz w:val="24"/>
        </w:rPr>
      </w:pPr>
      <w:r w:rsidRPr="0025310D">
        <w:rPr>
          <w:b/>
          <w:sz w:val="24"/>
          <w:u w:val="single"/>
        </w:rPr>
        <w:t>QUINTO</w:t>
      </w:r>
      <w:r w:rsidR="00180D22" w:rsidRPr="0025310D">
        <w:rPr>
          <w:sz w:val="24"/>
        </w:rPr>
        <w:t xml:space="preserve">: </w:t>
      </w:r>
    </w:p>
    <w:p w14:paraId="43649C69" w14:textId="77777777" w:rsidR="00180D22" w:rsidRPr="0025310D" w:rsidRDefault="00FF4BA3" w:rsidP="002E790B">
      <w:pPr>
        <w:spacing w:before="240" w:after="100" w:afterAutospacing="1"/>
        <w:jc w:val="both"/>
        <w:rPr>
          <w:sz w:val="24"/>
        </w:rPr>
      </w:pPr>
      <w:r w:rsidRPr="0025310D">
        <w:rPr>
          <w:b/>
          <w:sz w:val="24"/>
        </w:rPr>
        <w:t>TRAMITACION DEL INFORME</w:t>
      </w:r>
    </w:p>
    <w:p w14:paraId="491F23BC" w14:textId="77777777" w:rsidR="00180D22" w:rsidRPr="0025310D" w:rsidRDefault="00173601" w:rsidP="00665A79">
      <w:pPr>
        <w:spacing w:before="240" w:after="100" w:afterAutospacing="1"/>
        <w:ind w:firstLine="708"/>
        <w:jc w:val="both"/>
        <w:rPr>
          <w:sz w:val="24"/>
        </w:rPr>
      </w:pPr>
      <w:r w:rsidRPr="0025310D">
        <w:rPr>
          <w:sz w:val="24"/>
        </w:rPr>
        <w:t>De acuerdo con la previsión del artículo cuarto</w:t>
      </w:r>
      <w:r w:rsidR="00FF4BA3" w:rsidRPr="0025310D">
        <w:rPr>
          <w:sz w:val="24"/>
        </w:rPr>
        <w:t xml:space="preserve"> </w:t>
      </w:r>
      <w:r w:rsidR="00A37E06" w:rsidRPr="0025310D">
        <w:rPr>
          <w:sz w:val="24"/>
        </w:rPr>
        <w:t>4.</w:t>
      </w:r>
      <w:r w:rsidR="00FF4BA3" w:rsidRPr="0025310D">
        <w:rPr>
          <w:sz w:val="24"/>
        </w:rPr>
        <w:t xml:space="preserve"> Punto 4º </w:t>
      </w:r>
      <w:r w:rsidRPr="0025310D">
        <w:rPr>
          <w:sz w:val="24"/>
        </w:rPr>
        <w:t xml:space="preserve">de </w:t>
      </w:r>
      <w:smartTag w:uri="urn:schemas-microsoft-com:office:smarttags" w:element="PersonName">
        <w:smartTagPr>
          <w:attr w:name="ProductID" w:val="La Ley"/>
        </w:smartTagPr>
        <w:r w:rsidRPr="0025310D">
          <w:rPr>
            <w:sz w:val="24"/>
          </w:rPr>
          <w:t xml:space="preserve">la </w:t>
        </w:r>
        <w:r w:rsidR="00180D22" w:rsidRPr="0025310D">
          <w:rPr>
            <w:sz w:val="24"/>
          </w:rPr>
          <w:t>Ley</w:t>
        </w:r>
      </w:smartTag>
      <w:r w:rsidR="00180D22" w:rsidRPr="0025310D">
        <w:rPr>
          <w:sz w:val="24"/>
        </w:rPr>
        <w:t xml:space="preserve"> 15/2010, </w:t>
      </w:r>
      <w:r w:rsidR="00FF4BA3" w:rsidRPr="0025310D">
        <w:rPr>
          <w:sz w:val="24"/>
        </w:rPr>
        <w:t xml:space="preserve">sin perjuicio de su presentación y, en su caso, debate en el Pleno de la Corporación Local, dicho informe debe remitirse, en todo caso, a los órganos competentes del Ministerio de Hacienda – oficina virtual </w:t>
      </w:r>
      <w:r w:rsidR="002B74A5" w:rsidRPr="0025310D">
        <w:rPr>
          <w:sz w:val="24"/>
        </w:rPr>
        <w:t>para la</w:t>
      </w:r>
      <w:r w:rsidR="00FF4BA3" w:rsidRPr="0025310D">
        <w:rPr>
          <w:sz w:val="24"/>
        </w:rPr>
        <w:t xml:space="preserve"> coordinación </w:t>
      </w:r>
      <w:r w:rsidR="002B74A5" w:rsidRPr="0025310D">
        <w:rPr>
          <w:sz w:val="24"/>
        </w:rPr>
        <w:t>financiera con las</w:t>
      </w:r>
      <w:r w:rsidR="00FF4BA3" w:rsidRPr="0025310D">
        <w:rPr>
          <w:sz w:val="24"/>
        </w:rPr>
        <w:t xml:space="preserve"> entidades locales</w:t>
      </w:r>
      <w:r w:rsidR="00DF0389" w:rsidRPr="0025310D">
        <w:rPr>
          <w:sz w:val="24"/>
        </w:rPr>
        <w:t>-</w:t>
      </w:r>
      <w:r w:rsidR="00FF4BA3" w:rsidRPr="0025310D">
        <w:rPr>
          <w:sz w:val="24"/>
        </w:rPr>
        <w:t xml:space="preserve"> y</w:t>
      </w:r>
      <w:r w:rsidR="00DF0389" w:rsidRPr="0025310D">
        <w:rPr>
          <w:sz w:val="24"/>
        </w:rPr>
        <w:t xml:space="preserve"> también, </w:t>
      </w:r>
      <w:r w:rsidR="00FF4BA3" w:rsidRPr="0025310D">
        <w:rPr>
          <w:sz w:val="24"/>
        </w:rPr>
        <w:t>en su respectivo ámbito territorial, a los de las Comunidades Autónomas que, con arreglo a sus respectivos Estatutos, tengan atribuida la tutela financiera de las Entidades Locales.</w:t>
      </w:r>
      <w:r w:rsidR="002B74A5" w:rsidRPr="0025310D">
        <w:rPr>
          <w:sz w:val="24"/>
        </w:rPr>
        <w:t xml:space="preserve"> El procedimiento para proceder a esa remisión se determina en el artículo 5 de la Orden HAP/2105/2012, de 1 de octubre, por la que se desarrollan las obligaciones de suministro de información previstas en la Ley Orgánica 2/2012 de 27 de abril de Estabilidad Presupuestaria y Sostenibilidad Financiera</w:t>
      </w:r>
      <w:r w:rsidR="00A37E06" w:rsidRPr="0025310D">
        <w:rPr>
          <w:sz w:val="24"/>
        </w:rPr>
        <w:t xml:space="preserve"> que establece que, a estas obligaciones de remisión, se les dará cumplimiento por medios electrónicos a través del sistema que el Ministerio de Hacienda ha habilitado al efecto.</w:t>
      </w:r>
    </w:p>
    <w:p w14:paraId="6E9060D2" w14:textId="77777777" w:rsidR="00180D22" w:rsidRPr="0025310D" w:rsidRDefault="00242477" w:rsidP="002E790B">
      <w:pPr>
        <w:spacing w:before="600" w:after="100" w:afterAutospacing="1"/>
        <w:jc w:val="center"/>
        <w:rPr>
          <w:sz w:val="24"/>
        </w:rPr>
      </w:pPr>
      <w:r w:rsidRPr="0025310D">
        <w:rPr>
          <w:sz w:val="24"/>
        </w:rPr>
        <w:t>Las Ro</w:t>
      </w:r>
      <w:r w:rsidR="00A605C8" w:rsidRPr="0025310D">
        <w:rPr>
          <w:sz w:val="24"/>
        </w:rPr>
        <w:t>zas de Madrid, a</w:t>
      </w:r>
      <w:r w:rsidR="00FF4BA3" w:rsidRPr="0025310D">
        <w:rPr>
          <w:sz w:val="24"/>
        </w:rPr>
        <w:t>l día de la fecha de la firma digital.</w:t>
      </w:r>
    </w:p>
    <w:p w14:paraId="1853028B" w14:textId="0616F502" w:rsidR="00180D22" w:rsidRPr="0025310D" w:rsidRDefault="00180D22" w:rsidP="00C400E2">
      <w:pPr>
        <w:spacing w:before="240" w:after="1200"/>
        <w:jc w:val="center"/>
        <w:rPr>
          <w:b/>
          <w:sz w:val="24"/>
        </w:rPr>
      </w:pPr>
      <w:r w:rsidRPr="0025310D">
        <w:rPr>
          <w:b/>
          <w:sz w:val="24"/>
        </w:rPr>
        <w:t>EL TESORERO</w:t>
      </w:r>
      <w:r w:rsidR="00BA416F" w:rsidRPr="0025310D">
        <w:rPr>
          <w:b/>
          <w:sz w:val="24"/>
        </w:rPr>
        <w:t>,</w:t>
      </w:r>
    </w:p>
    <w:p w14:paraId="3B47BBAD" w14:textId="44E132E9" w:rsidR="00E55F41" w:rsidRPr="0025310D" w:rsidRDefault="00E55F41" w:rsidP="005C4BE0">
      <w:pPr>
        <w:spacing w:before="100" w:beforeAutospacing="1" w:after="100" w:afterAutospacing="1"/>
        <w:ind w:left="-709" w:right="-851" w:firstLine="709"/>
        <w:rPr>
          <w:b/>
          <w:sz w:val="22"/>
          <w:szCs w:val="22"/>
        </w:rPr>
      </w:pPr>
      <w:r w:rsidRPr="0025310D">
        <w:rPr>
          <w:b/>
          <w:sz w:val="22"/>
          <w:szCs w:val="22"/>
        </w:rPr>
        <w:t xml:space="preserve">ILMO. SR. ALCALDE-PRESIDENTE DEL AYUNTAMIENTO DE LAS ROZAS DE MADRID (MADRID) </w:t>
      </w:r>
    </w:p>
    <w:sectPr w:rsidR="00E55F41" w:rsidRPr="0025310D" w:rsidSect="005C4BE0">
      <w:headerReference w:type="default" r:id="rId16"/>
      <w:footerReference w:type="default" r:id="rId17"/>
      <w:headerReference w:type="first" r:id="rId18"/>
      <w:pgSz w:w="11906" w:h="16838"/>
      <w:pgMar w:top="1134" w:right="851" w:bottom="1276" w:left="85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5DB49" w14:textId="77777777" w:rsidR="00A67359" w:rsidRDefault="00A67359">
      <w:r>
        <w:separator/>
      </w:r>
    </w:p>
  </w:endnote>
  <w:endnote w:type="continuationSeparator" w:id="0">
    <w:p w14:paraId="1F1E03C1" w14:textId="77777777" w:rsidR="00A67359" w:rsidRDefault="00A67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8FA3F" w14:textId="77777777" w:rsidR="00584CE1" w:rsidRDefault="00584CE1">
    <w:pPr>
      <w:pStyle w:val="Piedepgina"/>
      <w:jc w:val="center"/>
      <w:rPr>
        <w:i/>
        <w:sz w:val="16"/>
      </w:rPr>
    </w:pPr>
    <w:r>
      <w:rPr>
        <w:i/>
        <w:snapToGrid w:val="0"/>
        <w:sz w:val="16"/>
      </w:rPr>
      <w:t xml:space="preserve">Página </w:t>
    </w:r>
    <w:r>
      <w:rPr>
        <w:i/>
        <w:snapToGrid w:val="0"/>
        <w:sz w:val="16"/>
      </w:rPr>
      <w:fldChar w:fldCharType="begin"/>
    </w:r>
    <w:r>
      <w:rPr>
        <w:i/>
        <w:snapToGrid w:val="0"/>
        <w:sz w:val="16"/>
      </w:rPr>
      <w:instrText xml:space="preserve"> PAGE </w:instrText>
    </w:r>
    <w:r>
      <w:rPr>
        <w:i/>
        <w:snapToGrid w:val="0"/>
        <w:sz w:val="16"/>
      </w:rPr>
      <w:fldChar w:fldCharType="separate"/>
    </w:r>
    <w:r w:rsidR="008B67A6">
      <w:rPr>
        <w:i/>
        <w:noProof/>
        <w:snapToGrid w:val="0"/>
        <w:sz w:val="16"/>
      </w:rPr>
      <w:t>8</w:t>
    </w:r>
    <w:r>
      <w:rPr>
        <w:i/>
        <w:snapToGrid w:val="0"/>
        <w:sz w:val="16"/>
      </w:rPr>
      <w:fldChar w:fldCharType="end"/>
    </w:r>
    <w:r>
      <w:rPr>
        <w:i/>
        <w:snapToGrid w:val="0"/>
        <w:sz w:val="16"/>
      </w:rPr>
      <w:t xml:space="preserve"> de </w:t>
    </w:r>
    <w:r>
      <w:rPr>
        <w:i/>
        <w:snapToGrid w:val="0"/>
        <w:sz w:val="16"/>
      </w:rPr>
      <w:fldChar w:fldCharType="begin"/>
    </w:r>
    <w:r>
      <w:rPr>
        <w:i/>
        <w:snapToGrid w:val="0"/>
        <w:sz w:val="16"/>
      </w:rPr>
      <w:instrText xml:space="preserve"> NUMPAGES </w:instrText>
    </w:r>
    <w:r>
      <w:rPr>
        <w:i/>
        <w:snapToGrid w:val="0"/>
        <w:sz w:val="16"/>
      </w:rPr>
      <w:fldChar w:fldCharType="separate"/>
    </w:r>
    <w:r w:rsidR="003B739E">
      <w:rPr>
        <w:i/>
        <w:noProof/>
        <w:snapToGrid w:val="0"/>
        <w:sz w:val="16"/>
      </w:rPr>
      <w:t>8</w:t>
    </w:r>
    <w:r>
      <w:rPr>
        <w:i/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A1571" w14:textId="77777777" w:rsidR="00A67359" w:rsidRDefault="00A67359">
      <w:r>
        <w:separator/>
      </w:r>
    </w:p>
  </w:footnote>
  <w:footnote w:type="continuationSeparator" w:id="0">
    <w:p w14:paraId="553B8403" w14:textId="77777777" w:rsidR="00A67359" w:rsidRDefault="00A67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0B03" w14:textId="77777777" w:rsidR="00584CE1" w:rsidRDefault="00584CE1">
    <w:pPr>
      <w:pStyle w:val="Encabezado"/>
      <w:jc w:val="center"/>
      <w:rPr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7C44C" w14:textId="7837B0D2" w:rsidR="00584CE1" w:rsidRPr="00490967" w:rsidRDefault="00584CE1" w:rsidP="006640D5">
    <w:pPr>
      <w:pStyle w:val="Encabezado"/>
      <w:tabs>
        <w:tab w:val="clear" w:pos="8504"/>
      </w:tabs>
      <w:ind w:left="-142"/>
      <w:jc w:val="right"/>
      <w:rPr>
        <w:rFonts w:ascii="Lucida Sans Unicode" w:hAnsi="Lucida Sans Unicode" w:cs="Lucida Sans Unicode"/>
        <w:i/>
        <w:sz w:val="28"/>
        <w:szCs w:val="28"/>
      </w:rPr>
    </w:pPr>
    <w:r w:rsidRPr="00490967">
      <w:rPr>
        <w:rFonts w:ascii="Lucida Sans Unicode" w:hAnsi="Lucida Sans Unicode" w:cs="Lucida Sans Unicode"/>
        <w:i/>
        <w:sz w:val="28"/>
        <w:szCs w:val="28"/>
      </w:rPr>
      <w:t>Tesorería General</w:t>
    </w:r>
  </w:p>
  <w:p w14:paraId="258281EF" w14:textId="63EEDF16" w:rsidR="00584CE1" w:rsidRDefault="00584CE1" w:rsidP="003969C4">
    <w:pPr>
      <w:pStyle w:val="Encabezado"/>
      <w:tabs>
        <w:tab w:val="right" w:pos="9639"/>
      </w:tabs>
      <w:rPr>
        <w:rFonts w:ascii="Lucida Sans Unicode" w:hAnsi="Lucida Sans Unicode" w:cs="Lucida Sans Unicode"/>
        <w:sz w:val="32"/>
        <w:szCs w:val="32"/>
      </w:rPr>
    </w:pPr>
    <w:r>
      <w:rPr>
        <w:rFonts w:ascii="Lucida Sans Unicode" w:hAnsi="Lucida Sans Unicode" w:cs="Lucida Sans Unicode"/>
        <w:sz w:val="32"/>
        <w:szCs w:val="32"/>
      </w:rPr>
      <w:t xml:space="preserve">        </w:t>
    </w:r>
    <w:r w:rsidR="00F73EF6">
      <w:rPr>
        <w:rFonts w:ascii="Lucida Sans Unicode" w:hAnsi="Lucida Sans Unicode" w:cs="Lucida Sans Unicode"/>
        <w:noProof/>
        <w:sz w:val="32"/>
        <w:szCs w:val="32"/>
      </w:rPr>
      <w:drawing>
        <wp:inline distT="0" distB="0" distL="0" distR="0" wp14:anchorId="2C51AE75" wp14:editId="78A819B3">
          <wp:extent cx="857250" cy="1209675"/>
          <wp:effectExtent l="0" t="0" r="0" b="0"/>
          <wp:docPr id="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BF7E00" w14:textId="77777777" w:rsidR="00584CE1" w:rsidRDefault="00584CE1" w:rsidP="00CB0B8A">
    <w:pPr>
      <w:pStyle w:val="Encabezado"/>
      <w:ind w:right="-285"/>
      <w:rPr>
        <w:rFonts w:ascii="Lucida Sans Unicode" w:hAnsi="Lucida Sans Unicode" w:cs="Lucida Sans Unicode"/>
        <w:sz w:val="32"/>
        <w:szCs w:val="32"/>
      </w:rPr>
    </w:pPr>
    <w:r>
      <w:rPr>
        <w:rFonts w:ascii="Lucida Sans Unicode" w:hAnsi="Lucida Sans Unicode" w:cs="Lucida Sans Unicode"/>
        <w:sz w:val="32"/>
        <w:szCs w:val="32"/>
      </w:rPr>
      <w:t xml:space="preserve">  Ayuntamiento de</w:t>
    </w:r>
  </w:p>
  <w:p w14:paraId="35B93775" w14:textId="438DD9B9" w:rsidR="00584CE1" w:rsidRDefault="00584CE1">
    <w:pPr>
      <w:pStyle w:val="Encabezado"/>
      <w:rPr>
        <w:b/>
        <w:lang w:val="es-ES_tradnl"/>
      </w:rPr>
    </w:pPr>
    <w:r>
      <w:rPr>
        <w:rFonts w:ascii="Lucida Sans Unicode" w:hAnsi="Lucida Sans Unicode" w:cs="Lucida Sans Unicode"/>
        <w:sz w:val="32"/>
        <w:szCs w:val="32"/>
      </w:rPr>
      <w:t>Las Rozas de Madrid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92D5A"/>
    <w:multiLevelType w:val="singleLevel"/>
    <w:tmpl w:val="188C1076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A044BD6"/>
    <w:multiLevelType w:val="hybridMultilevel"/>
    <w:tmpl w:val="F082661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DB70009"/>
    <w:multiLevelType w:val="hybridMultilevel"/>
    <w:tmpl w:val="B90EC968"/>
    <w:lvl w:ilvl="0" w:tplc="FFFFFFFF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cs="Tahoma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F9B15ED"/>
    <w:multiLevelType w:val="hybridMultilevel"/>
    <w:tmpl w:val="472487E2"/>
    <w:lvl w:ilvl="0" w:tplc="FD289EB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3AB61C6C"/>
    <w:multiLevelType w:val="hybridMultilevel"/>
    <w:tmpl w:val="0234CF4A"/>
    <w:lvl w:ilvl="0" w:tplc="E17271E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B25338B"/>
    <w:multiLevelType w:val="hybridMultilevel"/>
    <w:tmpl w:val="A5D8E880"/>
    <w:lvl w:ilvl="0" w:tplc="FFFFFFFF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E83654F"/>
    <w:multiLevelType w:val="hybridMultilevel"/>
    <w:tmpl w:val="DC88D0B8"/>
    <w:lvl w:ilvl="0" w:tplc="AD5E6BEC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58" w:hanging="360"/>
      </w:pPr>
    </w:lvl>
    <w:lvl w:ilvl="2" w:tplc="0C0A001B" w:tentative="1">
      <w:start w:val="1"/>
      <w:numFmt w:val="lowerRoman"/>
      <w:lvlText w:val="%3."/>
      <w:lvlJc w:val="right"/>
      <w:pPr>
        <w:ind w:left="3578" w:hanging="180"/>
      </w:pPr>
    </w:lvl>
    <w:lvl w:ilvl="3" w:tplc="0C0A000F" w:tentative="1">
      <w:start w:val="1"/>
      <w:numFmt w:val="decimal"/>
      <w:lvlText w:val="%4."/>
      <w:lvlJc w:val="left"/>
      <w:pPr>
        <w:ind w:left="4298" w:hanging="360"/>
      </w:pPr>
    </w:lvl>
    <w:lvl w:ilvl="4" w:tplc="0C0A0019" w:tentative="1">
      <w:start w:val="1"/>
      <w:numFmt w:val="lowerLetter"/>
      <w:lvlText w:val="%5."/>
      <w:lvlJc w:val="left"/>
      <w:pPr>
        <w:ind w:left="5018" w:hanging="360"/>
      </w:pPr>
    </w:lvl>
    <w:lvl w:ilvl="5" w:tplc="0C0A001B" w:tentative="1">
      <w:start w:val="1"/>
      <w:numFmt w:val="lowerRoman"/>
      <w:lvlText w:val="%6."/>
      <w:lvlJc w:val="right"/>
      <w:pPr>
        <w:ind w:left="5738" w:hanging="180"/>
      </w:pPr>
    </w:lvl>
    <w:lvl w:ilvl="6" w:tplc="0C0A000F" w:tentative="1">
      <w:start w:val="1"/>
      <w:numFmt w:val="decimal"/>
      <w:lvlText w:val="%7."/>
      <w:lvlJc w:val="left"/>
      <w:pPr>
        <w:ind w:left="6458" w:hanging="360"/>
      </w:pPr>
    </w:lvl>
    <w:lvl w:ilvl="7" w:tplc="0C0A0019" w:tentative="1">
      <w:start w:val="1"/>
      <w:numFmt w:val="lowerLetter"/>
      <w:lvlText w:val="%8."/>
      <w:lvlJc w:val="left"/>
      <w:pPr>
        <w:ind w:left="7178" w:hanging="360"/>
      </w:pPr>
    </w:lvl>
    <w:lvl w:ilvl="8" w:tplc="0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42B1534C"/>
    <w:multiLevelType w:val="hybridMultilevel"/>
    <w:tmpl w:val="3200763A"/>
    <w:lvl w:ilvl="0" w:tplc="FFFFFFFF">
      <w:start w:val="4"/>
      <w:numFmt w:val="bullet"/>
      <w:lvlText w:val=""/>
      <w:lvlJc w:val="left"/>
      <w:pPr>
        <w:tabs>
          <w:tab w:val="num" w:pos="1668"/>
        </w:tabs>
        <w:ind w:left="1668" w:hanging="960"/>
      </w:pPr>
      <w:rPr>
        <w:rFonts w:ascii="Symbol" w:eastAsia="Times New Roman" w:hAnsi="Symbol" w:cs="Tahom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4193CEE"/>
    <w:multiLevelType w:val="hybridMultilevel"/>
    <w:tmpl w:val="B8AE7D94"/>
    <w:lvl w:ilvl="0" w:tplc="FFFFFFFF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5132897"/>
    <w:multiLevelType w:val="hybridMultilevel"/>
    <w:tmpl w:val="C4EC399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855A8"/>
    <w:multiLevelType w:val="hybridMultilevel"/>
    <w:tmpl w:val="78E0ACB8"/>
    <w:lvl w:ilvl="0" w:tplc="FFFFFFFF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630A4BAF"/>
    <w:multiLevelType w:val="hybridMultilevel"/>
    <w:tmpl w:val="840C6574"/>
    <w:lvl w:ilvl="0" w:tplc="47782AA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30179"/>
    <w:multiLevelType w:val="hybridMultilevel"/>
    <w:tmpl w:val="6CEADC2E"/>
    <w:lvl w:ilvl="0" w:tplc="E17271E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02B77B7"/>
    <w:multiLevelType w:val="hybridMultilevel"/>
    <w:tmpl w:val="0C403FC0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ahom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356616785">
    <w:abstractNumId w:val="0"/>
  </w:num>
  <w:num w:numId="2" w16cid:durableId="2145659432">
    <w:abstractNumId w:val="8"/>
  </w:num>
  <w:num w:numId="3" w16cid:durableId="243342466">
    <w:abstractNumId w:val="10"/>
  </w:num>
  <w:num w:numId="4" w16cid:durableId="1769161108">
    <w:abstractNumId w:val="5"/>
  </w:num>
  <w:num w:numId="5" w16cid:durableId="489755594">
    <w:abstractNumId w:val="13"/>
  </w:num>
  <w:num w:numId="6" w16cid:durableId="1730180270">
    <w:abstractNumId w:val="2"/>
  </w:num>
  <w:num w:numId="7" w16cid:durableId="383254893">
    <w:abstractNumId w:val="7"/>
  </w:num>
  <w:num w:numId="8" w16cid:durableId="153931380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225336374">
    <w:abstractNumId w:val="3"/>
  </w:num>
  <w:num w:numId="10" w16cid:durableId="379013080">
    <w:abstractNumId w:val="6"/>
  </w:num>
  <w:num w:numId="11" w16cid:durableId="1600025749">
    <w:abstractNumId w:val="12"/>
  </w:num>
  <w:num w:numId="12" w16cid:durableId="1368261912">
    <w:abstractNumId w:val="1"/>
  </w:num>
  <w:num w:numId="13" w16cid:durableId="1836414549">
    <w:abstractNumId w:val="11"/>
  </w:num>
  <w:num w:numId="14" w16cid:durableId="1404644953">
    <w:abstractNumId w:val="4"/>
  </w:num>
  <w:num w:numId="15" w16cid:durableId="5844131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681"/>
    <w:rsid w:val="0000339D"/>
    <w:rsid w:val="00020968"/>
    <w:rsid w:val="00025A04"/>
    <w:rsid w:val="0006260C"/>
    <w:rsid w:val="00063215"/>
    <w:rsid w:val="0007372F"/>
    <w:rsid w:val="000A013F"/>
    <w:rsid w:val="000B60E3"/>
    <w:rsid w:val="000C0D94"/>
    <w:rsid w:val="000F35F5"/>
    <w:rsid w:val="000F3903"/>
    <w:rsid w:val="00135D79"/>
    <w:rsid w:val="001371A6"/>
    <w:rsid w:val="0016667B"/>
    <w:rsid w:val="00173601"/>
    <w:rsid w:val="00180D22"/>
    <w:rsid w:val="001839E8"/>
    <w:rsid w:val="001C706D"/>
    <w:rsid w:val="001D7D49"/>
    <w:rsid w:val="001F11A4"/>
    <w:rsid w:val="001F3041"/>
    <w:rsid w:val="0022306B"/>
    <w:rsid w:val="00242477"/>
    <w:rsid w:val="0025002B"/>
    <w:rsid w:val="0025310D"/>
    <w:rsid w:val="002726D2"/>
    <w:rsid w:val="002B505D"/>
    <w:rsid w:val="002B74A5"/>
    <w:rsid w:val="002D4E3F"/>
    <w:rsid w:val="002E1B81"/>
    <w:rsid w:val="002E4C9F"/>
    <w:rsid w:val="002E5E5B"/>
    <w:rsid w:val="002E790B"/>
    <w:rsid w:val="00317AE1"/>
    <w:rsid w:val="00321320"/>
    <w:rsid w:val="003326B9"/>
    <w:rsid w:val="0034287A"/>
    <w:rsid w:val="00346074"/>
    <w:rsid w:val="003471C8"/>
    <w:rsid w:val="00350600"/>
    <w:rsid w:val="003727A7"/>
    <w:rsid w:val="00373E67"/>
    <w:rsid w:val="00380435"/>
    <w:rsid w:val="003905FE"/>
    <w:rsid w:val="003969C4"/>
    <w:rsid w:val="003B739E"/>
    <w:rsid w:val="003C190D"/>
    <w:rsid w:val="004065F1"/>
    <w:rsid w:val="00413E62"/>
    <w:rsid w:val="004228E0"/>
    <w:rsid w:val="00427A4F"/>
    <w:rsid w:val="004322A3"/>
    <w:rsid w:val="00440778"/>
    <w:rsid w:val="00450FB5"/>
    <w:rsid w:val="004866AB"/>
    <w:rsid w:val="00487E7C"/>
    <w:rsid w:val="00490967"/>
    <w:rsid w:val="0049350E"/>
    <w:rsid w:val="004B52E4"/>
    <w:rsid w:val="004B543B"/>
    <w:rsid w:val="004B7E6C"/>
    <w:rsid w:val="004D34BB"/>
    <w:rsid w:val="005256FC"/>
    <w:rsid w:val="00555679"/>
    <w:rsid w:val="005678FB"/>
    <w:rsid w:val="0057049C"/>
    <w:rsid w:val="00583005"/>
    <w:rsid w:val="00584CE1"/>
    <w:rsid w:val="005B16B1"/>
    <w:rsid w:val="005B5659"/>
    <w:rsid w:val="005C4BE0"/>
    <w:rsid w:val="005C712A"/>
    <w:rsid w:val="005E7566"/>
    <w:rsid w:val="005F7D6E"/>
    <w:rsid w:val="00607681"/>
    <w:rsid w:val="00635DAC"/>
    <w:rsid w:val="00651149"/>
    <w:rsid w:val="006640D5"/>
    <w:rsid w:val="00664EAE"/>
    <w:rsid w:val="00665A79"/>
    <w:rsid w:val="00665BC4"/>
    <w:rsid w:val="0068001A"/>
    <w:rsid w:val="00684886"/>
    <w:rsid w:val="00686B67"/>
    <w:rsid w:val="00686F99"/>
    <w:rsid w:val="00692F6E"/>
    <w:rsid w:val="006A2C2A"/>
    <w:rsid w:val="006B1226"/>
    <w:rsid w:val="006E52A4"/>
    <w:rsid w:val="00713988"/>
    <w:rsid w:val="00744CF4"/>
    <w:rsid w:val="0074622C"/>
    <w:rsid w:val="007D5605"/>
    <w:rsid w:val="007E1A7A"/>
    <w:rsid w:val="007E7B6D"/>
    <w:rsid w:val="007F1FBA"/>
    <w:rsid w:val="00802748"/>
    <w:rsid w:val="00803930"/>
    <w:rsid w:val="00807875"/>
    <w:rsid w:val="00814D8B"/>
    <w:rsid w:val="008810D0"/>
    <w:rsid w:val="008B67A6"/>
    <w:rsid w:val="008F2127"/>
    <w:rsid w:val="009450E6"/>
    <w:rsid w:val="009D1572"/>
    <w:rsid w:val="00A12714"/>
    <w:rsid w:val="00A3019A"/>
    <w:rsid w:val="00A30F9F"/>
    <w:rsid w:val="00A33824"/>
    <w:rsid w:val="00A37E06"/>
    <w:rsid w:val="00A605C8"/>
    <w:rsid w:val="00A67359"/>
    <w:rsid w:val="00A967EB"/>
    <w:rsid w:val="00AA4A0C"/>
    <w:rsid w:val="00AB6B1A"/>
    <w:rsid w:val="00AF14AB"/>
    <w:rsid w:val="00B16302"/>
    <w:rsid w:val="00B45E1D"/>
    <w:rsid w:val="00B479C8"/>
    <w:rsid w:val="00B616C8"/>
    <w:rsid w:val="00B63CF5"/>
    <w:rsid w:val="00B7635D"/>
    <w:rsid w:val="00B84C02"/>
    <w:rsid w:val="00BA416F"/>
    <w:rsid w:val="00BA6535"/>
    <w:rsid w:val="00BB1258"/>
    <w:rsid w:val="00BC04C4"/>
    <w:rsid w:val="00C055DB"/>
    <w:rsid w:val="00C21A2F"/>
    <w:rsid w:val="00C400E2"/>
    <w:rsid w:val="00C8223D"/>
    <w:rsid w:val="00C94645"/>
    <w:rsid w:val="00CB0211"/>
    <w:rsid w:val="00CB0B8A"/>
    <w:rsid w:val="00CF5BC0"/>
    <w:rsid w:val="00D04436"/>
    <w:rsid w:val="00D606C6"/>
    <w:rsid w:val="00D708A5"/>
    <w:rsid w:val="00D80230"/>
    <w:rsid w:val="00DA07E6"/>
    <w:rsid w:val="00DA32E0"/>
    <w:rsid w:val="00DA4389"/>
    <w:rsid w:val="00DB0713"/>
    <w:rsid w:val="00DB5ECD"/>
    <w:rsid w:val="00DD4570"/>
    <w:rsid w:val="00DF0389"/>
    <w:rsid w:val="00DF5D99"/>
    <w:rsid w:val="00E3356D"/>
    <w:rsid w:val="00E44134"/>
    <w:rsid w:val="00E55F41"/>
    <w:rsid w:val="00E74A4D"/>
    <w:rsid w:val="00EA25FC"/>
    <w:rsid w:val="00EA4881"/>
    <w:rsid w:val="00EA5E26"/>
    <w:rsid w:val="00ED3CB6"/>
    <w:rsid w:val="00ED49B2"/>
    <w:rsid w:val="00F0671B"/>
    <w:rsid w:val="00F240A3"/>
    <w:rsid w:val="00F27754"/>
    <w:rsid w:val="00F67089"/>
    <w:rsid w:val="00F73EF6"/>
    <w:rsid w:val="00FD0BE7"/>
    <w:rsid w:val="00FD35CB"/>
    <w:rsid w:val="00FF4BA3"/>
    <w:rsid w:val="00FF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29DA145"/>
  <w15:chartTrackingRefBased/>
  <w15:docId w15:val="{25672EE7-D168-4C81-AA2D-C751BC274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rFonts w:ascii="Courier New" w:hAnsi="Courier New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Tahoma" w:hAnsi="Tahoma" w:cs="Tahom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spacing w:before="120" w:after="120"/>
      <w:ind w:firstLine="709"/>
      <w:jc w:val="both"/>
    </w:pPr>
    <w:rPr>
      <w:sz w:val="28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pPr>
      <w:jc w:val="both"/>
    </w:pPr>
    <w:rPr>
      <w:sz w:val="24"/>
    </w:rPr>
  </w:style>
  <w:style w:type="paragraph" w:styleId="Sangra2detindependiente">
    <w:name w:val="Body Text Indent 2"/>
    <w:basedOn w:val="Normal"/>
    <w:pPr>
      <w:spacing w:before="120" w:after="120"/>
      <w:ind w:left="708" w:firstLine="708"/>
      <w:jc w:val="both"/>
    </w:pPr>
    <w:rPr>
      <w:rFonts w:ascii="Tahoma" w:hAnsi="Tahoma"/>
      <w:sz w:val="24"/>
    </w:rPr>
  </w:style>
  <w:style w:type="paragraph" w:styleId="Ttulo">
    <w:name w:val="Title"/>
    <w:basedOn w:val="Normal"/>
    <w:qFormat/>
    <w:pPr>
      <w:jc w:val="center"/>
    </w:pPr>
    <w:rPr>
      <w:rFonts w:ascii="Tahoma" w:hAnsi="Tahoma" w:cs="Tahoma"/>
      <w:b/>
      <w:bCs/>
      <w:sz w:val="36"/>
      <w:u w:val="single"/>
    </w:rPr>
  </w:style>
  <w:style w:type="paragraph" w:styleId="Sangra3detindependiente">
    <w:name w:val="Body Text Indent 3"/>
    <w:basedOn w:val="Normal"/>
    <w:pPr>
      <w:ind w:firstLine="705"/>
      <w:jc w:val="both"/>
    </w:pPr>
    <w:rPr>
      <w:rFonts w:ascii="Tahoma" w:hAnsi="Tahoma" w:cs="Tahoma"/>
      <w:b/>
      <w:bCs/>
      <w:sz w:val="24"/>
    </w:rPr>
  </w:style>
  <w:style w:type="character" w:styleId="Fuerte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encinsinresolver">
    <w:name w:val="Unresolved Mention"/>
    <w:uiPriority w:val="99"/>
    <w:semiHidden/>
    <w:unhideWhenUsed/>
    <w:rsid w:val="00A3019A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525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rsid w:val="002E790B"/>
  </w:style>
  <w:style w:type="character" w:customStyle="1" w:styleId="TextonotaalfinalCar">
    <w:name w:val="Texto nota al final Car"/>
    <w:basedOn w:val="Fuentedeprrafopredeter"/>
    <w:link w:val="Textonotaalfinal"/>
    <w:rsid w:val="002E790B"/>
  </w:style>
  <w:style w:type="character" w:styleId="Refdenotaalfinal">
    <w:name w:val="endnote reference"/>
    <w:rsid w:val="002E790B"/>
    <w:rPr>
      <w:vertAlign w:val="superscript"/>
    </w:rPr>
  </w:style>
  <w:style w:type="paragraph" w:styleId="Textonotapie">
    <w:name w:val="footnote text"/>
    <w:basedOn w:val="Normal"/>
    <w:link w:val="TextonotapieCar"/>
    <w:rsid w:val="006A2C2A"/>
  </w:style>
  <w:style w:type="character" w:customStyle="1" w:styleId="TextonotapieCar">
    <w:name w:val="Texto nota pie Car"/>
    <w:basedOn w:val="Fuentedeprrafopredeter"/>
    <w:link w:val="Textonotapie"/>
    <w:rsid w:val="006A2C2A"/>
  </w:style>
  <w:style w:type="character" w:styleId="Refdenotaalpie">
    <w:name w:val="footnote reference"/>
    <w:rsid w:val="006A2C2A"/>
    <w:rPr>
      <w:vertAlign w:val="superscript"/>
    </w:rPr>
  </w:style>
  <w:style w:type="character" w:styleId="Hipervnculovisitado">
    <w:name w:val="FollowedHyperlink"/>
    <w:rsid w:val="00FD0BE7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Plantilla%20Tesorer&#237;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3F0F0-8880-46FA-9BDD-6BCD940F5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Tesorería.dot</Template>
  <TotalTime>2</TotalTime>
  <Pages>6</Pages>
  <Words>1173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SoftPack©</Company>
  <LinksUpToDate>false</LinksUpToDate>
  <CharactersWithSpaces>7611</CharactersWithSpaces>
  <SharedDoc>false</SharedDoc>
  <HLinks>
    <vt:vector size="6" baseType="variant">
      <vt:variant>
        <vt:i4>11927722</vt:i4>
      </vt:variant>
      <vt:variant>
        <vt:i4>0</vt:i4>
      </vt:variant>
      <vt:variant>
        <vt:i4>0</vt:i4>
      </vt:variant>
      <vt:variant>
        <vt:i4>5</vt:i4>
      </vt:variant>
      <vt:variant>
        <vt:lpwstr>http://www.hacienda.gob.es/es-ES/Areas%Temáticas/Administración Electronica/OVEELL/Paginas/OVEntidadesLocales.aspx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Emilio</dc:creator>
  <cp:keywords/>
  <cp:lastModifiedBy>Juan de Dios García Aybar</cp:lastModifiedBy>
  <cp:revision>2</cp:revision>
  <cp:lastPrinted>2025-11-17T09:09:00Z</cp:lastPrinted>
  <dcterms:created xsi:type="dcterms:W3CDTF">2026-03-13T13:32:00Z</dcterms:created>
  <dcterms:modified xsi:type="dcterms:W3CDTF">2026-03-13T13:32:00Z</dcterms:modified>
</cp:coreProperties>
</file>