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5530" w14:textId="77777777" w:rsidR="003C036E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302EE73" wp14:editId="52829535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0115E7" w14:textId="77777777" w:rsidR="003C036E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4DB1EE20" w14:textId="77777777" w:rsidR="003C036E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2026-2140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26/03/2026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02EE7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1D0115E7" w14:textId="77777777" w:rsidR="003C036E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4DB1EE20" w14:textId="77777777" w:rsidR="003C036E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2026-2140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26/03/2026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6A2ED97" wp14:editId="6381A3CD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E71797" w14:textId="6DFC73E3" w:rsidR="003C036E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4880F22B" w14:textId="77777777" w:rsidR="003C036E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5D72E45" w14:textId="77777777" w:rsidR="003C036E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2ED97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7CE71797" w14:textId="6DFC73E3" w:rsidR="003C036E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4880F22B" w14:textId="77777777" w:rsidR="003C036E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5D72E45" w14:textId="77777777" w:rsidR="003C036E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B9F38B" w14:textId="77777777" w:rsidR="003C036E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F75E9AD" wp14:editId="69929BDD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E7EF05" w14:textId="77777777" w:rsidR="003C036E" w:rsidRDefault="003C036E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40C96384" w14:textId="77777777" w:rsidR="003C036E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75E9AD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34E7EF05" w14:textId="77777777" w:rsidR="003C036E" w:rsidRDefault="003C036E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40C96384" w14:textId="77777777" w:rsidR="003C036E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C104EC" w14:textId="77777777" w:rsidR="003C036E" w:rsidRDefault="003C036E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3C036E" w14:paraId="3BC6CA59" w14:textId="77777777">
        <w:trPr>
          <w:trHeight w:val="377"/>
        </w:trPr>
        <w:tc>
          <w:tcPr>
            <w:tcW w:w="2550" w:type="dxa"/>
          </w:tcPr>
          <w:p w14:paraId="0FE69B18" w14:textId="77777777" w:rsidR="003C036E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1CD89487" w14:textId="77777777" w:rsidR="003C036E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3C036E" w14:paraId="34F140AE" w14:textId="77777777">
        <w:trPr>
          <w:trHeight w:val="378"/>
        </w:trPr>
        <w:tc>
          <w:tcPr>
            <w:tcW w:w="2550" w:type="dxa"/>
          </w:tcPr>
          <w:p w14:paraId="544D80DD" w14:textId="77777777" w:rsidR="003C036E" w:rsidRDefault="00000000" w:rsidP="0018230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JGL/2026/11</w:t>
            </w:r>
          </w:p>
        </w:tc>
        <w:tc>
          <w:tcPr>
            <w:tcW w:w="6522" w:type="dxa"/>
          </w:tcPr>
          <w:p w14:paraId="3C557188" w14:textId="77777777" w:rsidR="003C036E" w:rsidRDefault="00000000" w:rsidP="0018230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264B179F" w14:textId="77777777" w:rsidR="003C036E" w:rsidRDefault="00000000">
      <w:pPr>
        <w:pStyle w:val="Ttulo1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8725D9A" wp14:editId="167DC180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FC6E1F" w14:textId="77777777" w:rsidR="003C036E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53196225" w14:textId="77777777" w:rsidR="003C036E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Alcalde-Presidente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26/03/2026</w:t>
                            </w:r>
                          </w:p>
                          <w:p w14:paraId="0FD6F8D7" w14:textId="0F1153E1" w:rsidR="003C036E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25D9A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34FC6E1F" w14:textId="77777777" w:rsidR="003C036E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53196225" w14:textId="77777777" w:rsidR="003C036E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Alcalde-Presidente</w:t>
                      </w:r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26/03/2026</w:t>
                      </w:r>
                    </w:p>
                    <w:p w14:paraId="0FD6F8D7" w14:textId="0F1153E1" w:rsidR="003C036E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29D60262" w14:textId="77777777" w:rsidR="003C036E" w:rsidRDefault="00000000">
      <w:pPr>
        <w:pStyle w:val="Textoindependiente"/>
        <w:spacing w:before="212"/>
        <w:ind w:left="995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1226385B" w14:textId="77777777" w:rsidR="003C036E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751C32" wp14:editId="34C79C0E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2B91CF" w14:textId="77777777" w:rsidR="003C036E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51C32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532B91CF" w14:textId="77777777" w:rsidR="003C036E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4CAADC" w14:textId="16F240BE" w:rsidR="003C036E" w:rsidRDefault="00000000">
      <w:pPr>
        <w:spacing w:before="5"/>
        <w:ind w:left="995"/>
        <w:rPr>
          <w:sz w:val="20"/>
        </w:rPr>
      </w:pPr>
      <w:r>
        <w:rPr>
          <w:b/>
          <w:sz w:val="20"/>
        </w:rPr>
        <w:t>Tipo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Convocatoria: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Ordinaria</w:t>
      </w:r>
      <w:r w:rsidR="00182307">
        <w:rPr>
          <w:spacing w:val="-2"/>
          <w:sz w:val="20"/>
        </w:rPr>
        <w:t>.</w:t>
      </w:r>
    </w:p>
    <w:p w14:paraId="1B43B5C8" w14:textId="77777777" w:rsidR="003C036E" w:rsidRDefault="00000000">
      <w:pPr>
        <w:spacing w:before="212"/>
        <w:ind w:left="99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176" behindDoc="0" locked="0" layoutInCell="1" allowOverlap="1" wp14:anchorId="68BAA285" wp14:editId="5AF9B58F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Fecha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hora: </w:t>
      </w:r>
      <w:r>
        <w:rPr>
          <w:sz w:val="20"/>
        </w:rPr>
        <w:t>27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marzo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2026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13:00</w:t>
      </w:r>
      <w:r>
        <w:rPr>
          <w:spacing w:val="-2"/>
          <w:sz w:val="20"/>
        </w:rPr>
        <w:t xml:space="preserve"> horas.</w:t>
      </w:r>
    </w:p>
    <w:p w14:paraId="0FA176CD" w14:textId="66AA7E41" w:rsidR="003C036E" w:rsidRDefault="00000000">
      <w:pPr>
        <w:spacing w:before="212"/>
        <w:ind w:left="995"/>
        <w:rPr>
          <w:sz w:val="20"/>
        </w:rPr>
      </w:pPr>
      <w:r>
        <w:rPr>
          <w:b/>
          <w:sz w:val="20"/>
        </w:rPr>
        <w:t>Lugar: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Telemática</w:t>
      </w:r>
      <w:r w:rsidR="00182307">
        <w:rPr>
          <w:spacing w:val="-2"/>
          <w:sz w:val="20"/>
        </w:rPr>
        <w:t>.</w:t>
      </w:r>
    </w:p>
    <w:p w14:paraId="40575257" w14:textId="2535AB1D" w:rsidR="003C036E" w:rsidRPr="00182307" w:rsidRDefault="00000000">
      <w:pPr>
        <w:spacing w:before="212" w:line="336" w:lineRule="auto"/>
        <w:ind w:left="995"/>
        <w:rPr>
          <w:i/>
          <w:i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8B728B5" wp14:editId="65A187F6">
                <wp:simplePos x="0" y="0"/>
                <wp:positionH relativeFrom="page">
                  <wp:posOffset>254000</wp:posOffset>
                </wp:positionH>
                <wp:positionV relativeFrom="paragraph">
                  <wp:posOffset>135025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8856BF" w14:textId="77777777" w:rsidR="003C036E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6374B0B5" w14:textId="77777777" w:rsidR="003C036E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26/03/2026</w:t>
                            </w:r>
                          </w:p>
                          <w:p w14:paraId="0EABE8FF" w14:textId="26CBA818" w:rsidR="003C036E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728B5" id="Textbox 11" o:spid="_x0000_s1031" type="#_x0000_t202" style="position:absolute;left:0;text-align:left;margin-left:20pt;margin-top:10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coUL&#10;Z94AAAAIAQAADwAAAGRycy9kb3ducmV2LnhtbEyPwU7DMBBE70j8g7VI3KjdgKo0xKkQBQkOqGrp&#10;B2xjk0TY6yh2k8DXs5zgODuj2TflZvZOjHaIXSANy4UCYakOpqNGw/H9+SYHEROSQRfIaviyETbV&#10;5UWJhQkT7e14SI3gEooFamhT6gspY91aj3ERekvsfYTBY2I5NNIMOHG5dzJTaiU9dsQfWuztY2vr&#10;z8PZa3hSu1eHu/jWfm+nl+N+juN6W2t9fTU/3INIdk5/YfjFZ3SomOkUzmSicBruFE9JGrLlLQj2&#10;1znrE9/zbA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HKFC2f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228856BF" w14:textId="77777777" w:rsidR="003C036E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6374B0B5" w14:textId="77777777" w:rsidR="003C036E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26/03/2026</w:t>
                      </w:r>
                    </w:p>
                    <w:p w14:paraId="0EABE8FF" w14:textId="26CBA818" w:rsidR="003C036E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Participación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distancia: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Admite</w:t>
      </w:r>
      <w:r>
        <w:rPr>
          <w:spacing w:val="26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distancia,</w:t>
      </w:r>
      <w:r>
        <w:rPr>
          <w:spacing w:val="26"/>
          <w:sz w:val="20"/>
        </w:rPr>
        <w:t xml:space="preserve"> </w:t>
      </w:r>
      <w:r>
        <w:rPr>
          <w:sz w:val="20"/>
        </w:rPr>
        <w:t>pudiendo</w:t>
      </w:r>
      <w:r>
        <w:rPr>
          <w:spacing w:val="27"/>
          <w:sz w:val="20"/>
        </w:rPr>
        <w:t xml:space="preserve"> </w:t>
      </w:r>
      <w:r>
        <w:rPr>
          <w:sz w:val="20"/>
        </w:rPr>
        <w:t>conectar</w:t>
      </w:r>
      <w:r>
        <w:rPr>
          <w:spacing w:val="26"/>
          <w:sz w:val="20"/>
        </w:rPr>
        <w:t xml:space="preserve"> </w:t>
      </w:r>
      <w:r>
        <w:rPr>
          <w:sz w:val="20"/>
        </w:rPr>
        <w:t>mediante:</w:t>
      </w:r>
      <w:r>
        <w:rPr>
          <w:spacing w:val="26"/>
          <w:sz w:val="20"/>
        </w:rPr>
        <w:t xml:space="preserve"> </w:t>
      </w:r>
      <w:r w:rsidR="00182307" w:rsidRPr="00182307">
        <w:rPr>
          <w:i/>
          <w:iCs/>
          <w:sz w:val="20"/>
        </w:rPr>
        <w:t>“</w:t>
      </w:r>
      <w:r w:rsidRPr="00182307">
        <w:rPr>
          <w:i/>
          <w:iCs/>
          <w:sz w:val="20"/>
        </w:rPr>
        <w:t>Enlace habilitado al efecto</w:t>
      </w:r>
      <w:r w:rsidR="00182307" w:rsidRPr="00182307">
        <w:rPr>
          <w:i/>
          <w:iCs/>
          <w:sz w:val="20"/>
        </w:rPr>
        <w:t>”.</w:t>
      </w:r>
    </w:p>
    <w:p w14:paraId="70FEB276" w14:textId="77777777" w:rsidR="003C036E" w:rsidRDefault="00000000">
      <w:pPr>
        <w:pStyle w:val="Textoindependiente"/>
        <w:spacing w:before="120" w:line="336" w:lineRule="auto"/>
        <w:ind w:left="995" w:firstLine="0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7611576B" w14:textId="77777777" w:rsidR="003C036E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12539C22" w14:textId="77777777" w:rsidR="003C036E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E9CAE7" wp14:editId="2419ADED">
                <wp:simplePos x="0" y="0"/>
                <wp:positionH relativeFrom="page">
                  <wp:posOffset>900430</wp:posOffset>
                </wp:positionH>
                <wp:positionV relativeFrom="paragraph">
                  <wp:posOffset>137914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78DE18" w14:textId="77777777" w:rsidR="003C036E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9CAE7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1478DE18" w14:textId="77777777" w:rsidR="003C036E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998C5C" w14:textId="77777777" w:rsidR="003C036E" w:rsidRDefault="003C036E">
      <w:pPr>
        <w:pStyle w:val="Textoindependiente"/>
        <w:spacing w:before="97"/>
        <w:ind w:left="0" w:firstLine="0"/>
        <w:jc w:val="left"/>
      </w:pPr>
    </w:p>
    <w:p w14:paraId="19AA6E41" w14:textId="77777777" w:rsidR="003C036E" w:rsidRDefault="00000000">
      <w:pPr>
        <w:pStyle w:val="Ttulo1"/>
        <w:numPr>
          <w:ilvl w:val="0"/>
          <w:numId w:val="2"/>
        </w:numPr>
        <w:tabs>
          <w:tab w:val="left" w:pos="1259"/>
        </w:tabs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3A547C5F" w14:textId="77777777" w:rsidR="003C036E" w:rsidRDefault="00000000">
      <w:pPr>
        <w:pStyle w:val="Prrafodelista"/>
        <w:numPr>
          <w:ilvl w:val="1"/>
          <w:numId w:val="2"/>
        </w:numPr>
        <w:tabs>
          <w:tab w:val="left" w:pos="1699"/>
        </w:tabs>
        <w:spacing w:before="212"/>
        <w:ind w:left="1699" w:right="0" w:hanging="280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sesión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marzo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2026.</w:t>
      </w:r>
    </w:p>
    <w:p w14:paraId="56340A4C" w14:textId="7F8C290C" w:rsidR="003C036E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083224CF" wp14:editId="06BAD1A9">
            <wp:simplePos x="0" y="0"/>
            <wp:positionH relativeFrom="page">
              <wp:posOffset>292100</wp:posOffset>
            </wp:positionH>
            <wp:positionV relativeFrom="paragraph">
              <wp:posOffset>311936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Sentencia estimatoria 167/2026</w:t>
      </w:r>
      <w:r w:rsidR="00182307">
        <w:rPr>
          <w:sz w:val="20"/>
        </w:rPr>
        <w:t>,</w:t>
      </w:r>
      <w:r>
        <w:rPr>
          <w:sz w:val="20"/>
        </w:rPr>
        <w:t xml:space="preserve"> dictada por el Tribunal Superior de Justicia de Madrid, Sala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 lo Contencioso-Administrativo. Sección segunda. Recurso de Apelación 1463/2024. Recurrente: </w:t>
      </w:r>
      <w:r w:rsidR="00182307">
        <w:rPr>
          <w:sz w:val="20"/>
        </w:rPr>
        <w:t>D.ª</w:t>
      </w:r>
      <w:r>
        <w:rPr>
          <w:sz w:val="20"/>
        </w:rPr>
        <w:t xml:space="preserve"> V.R.M. Materia: Recursos Humanos. Expediente 2516/2024.</w:t>
      </w:r>
    </w:p>
    <w:p w14:paraId="257BF1E2" w14:textId="3F0FABCB" w:rsidR="003C036E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Sentencia desestimatoria 82/2025</w:t>
      </w:r>
      <w:r w:rsidR="00182307">
        <w:rPr>
          <w:sz w:val="20"/>
        </w:rPr>
        <w:t>,</w:t>
      </w:r>
      <w:r>
        <w:rPr>
          <w:sz w:val="20"/>
        </w:rPr>
        <w:t xml:space="preserve"> dictada por el Tribunal Superior de Justicia de Madrid, Sección segunda de lo Social. Recurso de Suplicación 709/2025. MH (Ordinario 207/2023). Recurrente: D. F.A.S.A. Materias laborales individuales. Expediente. 3493/2024.</w:t>
      </w:r>
    </w:p>
    <w:p w14:paraId="1EFB30A3" w14:textId="573E5D17" w:rsidR="003C036E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Sentencia parcialmente estimatoria 83/2026</w:t>
      </w:r>
      <w:r w:rsidR="00182307">
        <w:rPr>
          <w:sz w:val="20"/>
        </w:rPr>
        <w:t>,</w:t>
      </w:r>
      <w:r>
        <w:rPr>
          <w:sz w:val="20"/>
        </w:rPr>
        <w:t xml:space="preserve"> dictada por la Sección de lo Social del Tribunal</w:t>
      </w:r>
      <w:r>
        <w:rPr>
          <w:spacing w:val="40"/>
          <w:sz w:val="20"/>
        </w:rPr>
        <w:t xml:space="preserve"> </w:t>
      </w:r>
      <w:r>
        <w:rPr>
          <w:sz w:val="20"/>
        </w:rPr>
        <w:t>de Instancia 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Madrid. Plaza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49, en el procedimiento ordinario 289/2023. Demandante: D.</w:t>
      </w:r>
    </w:p>
    <w:p w14:paraId="2585A646" w14:textId="77777777" w:rsidR="003C036E" w:rsidRDefault="00000000">
      <w:pPr>
        <w:pStyle w:val="Textoindependiente"/>
        <w:ind w:firstLine="0"/>
      </w:pPr>
      <w:r>
        <w:t>R.S.R.</w:t>
      </w:r>
      <w:r>
        <w:rPr>
          <w:spacing w:val="-8"/>
        </w:rPr>
        <w:t xml:space="preserve"> </w:t>
      </w:r>
      <w:r>
        <w:t>Materias</w:t>
      </w:r>
      <w:r>
        <w:rPr>
          <w:spacing w:val="-6"/>
        </w:rPr>
        <w:t xml:space="preserve"> </w:t>
      </w:r>
      <w:r>
        <w:t>laborales</w:t>
      </w:r>
      <w:r>
        <w:rPr>
          <w:spacing w:val="-5"/>
        </w:rPr>
        <w:t xml:space="preserve"> </w:t>
      </w:r>
      <w:r>
        <w:t>individuales.</w:t>
      </w:r>
      <w:r>
        <w:rPr>
          <w:spacing w:val="-6"/>
        </w:rPr>
        <w:t xml:space="preserve"> </w:t>
      </w:r>
      <w:r>
        <w:t>Expediente</w:t>
      </w:r>
      <w:r>
        <w:rPr>
          <w:spacing w:val="-5"/>
        </w:rPr>
        <w:t xml:space="preserve"> </w:t>
      </w:r>
      <w:r>
        <w:rPr>
          <w:spacing w:val="-2"/>
        </w:rPr>
        <w:t>26680/2024.</w:t>
      </w:r>
    </w:p>
    <w:p w14:paraId="134882BB" w14:textId="303F954B" w:rsidR="003C036E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ind w:right="146"/>
        <w:jc w:val="both"/>
        <w:rPr>
          <w:sz w:val="20"/>
        </w:rPr>
      </w:pPr>
      <w:r>
        <w:rPr>
          <w:sz w:val="20"/>
        </w:rPr>
        <w:t>Sentencia estimatoria 89/2026</w:t>
      </w:r>
      <w:r w:rsidR="00182307">
        <w:rPr>
          <w:sz w:val="20"/>
        </w:rPr>
        <w:t>,</w:t>
      </w:r>
      <w:r>
        <w:rPr>
          <w:sz w:val="20"/>
        </w:rPr>
        <w:t xml:space="preserve"> dictada por la Sección de lo Contencioso-Administrativo del Tribunal de Instancia de Madrid. Plaza número 5. Procedimiento Abreviado 137/2025. Demandante: </w:t>
      </w:r>
      <w:r w:rsidR="00182307">
        <w:rPr>
          <w:sz w:val="20"/>
        </w:rPr>
        <w:t>D.ª</w:t>
      </w:r>
      <w:r>
        <w:rPr>
          <w:sz w:val="20"/>
        </w:rPr>
        <w:t xml:space="preserve"> S.P.P. Materia: IIVTNU. Expediente 13142/2025.</w:t>
      </w:r>
    </w:p>
    <w:p w14:paraId="5FCBF55B" w14:textId="124F232F" w:rsidR="003C036E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Sentencia condenatoria 3/2026</w:t>
      </w:r>
      <w:r w:rsidR="00182307">
        <w:rPr>
          <w:sz w:val="20"/>
        </w:rPr>
        <w:t>,</w:t>
      </w:r>
      <w:r>
        <w:rPr>
          <w:sz w:val="20"/>
        </w:rPr>
        <w:t xml:space="preserve"> dictada por la Sección Civil y de Instrucción del Tribunal de Instancia de Majadahonda. Plaza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6. Diligencias urgentes Juicio Rápido 47/2026. Acusado:</w:t>
      </w:r>
    </w:p>
    <w:p w14:paraId="2E909175" w14:textId="77777777" w:rsidR="003C036E" w:rsidRDefault="00000000">
      <w:pPr>
        <w:pStyle w:val="Textoindependiente"/>
        <w:spacing w:before="1"/>
        <w:ind w:firstLine="0"/>
      </w:pPr>
      <w:r>
        <w:t>D.</w:t>
      </w:r>
      <w:r>
        <w:rPr>
          <w:spacing w:val="-6"/>
        </w:rPr>
        <w:t xml:space="preserve"> </w:t>
      </w:r>
      <w:r>
        <w:t>I.A.M.</w:t>
      </w:r>
      <w:r>
        <w:rPr>
          <w:spacing w:val="-4"/>
        </w:rPr>
        <w:t xml:space="preserve"> </w:t>
      </w:r>
      <w:r>
        <w:t>Materia:</w:t>
      </w:r>
      <w:r>
        <w:rPr>
          <w:spacing w:val="-4"/>
        </w:rPr>
        <w:t xml:space="preserve"> </w:t>
      </w:r>
      <w:r>
        <w:t>Delito</w:t>
      </w:r>
      <w:r>
        <w:rPr>
          <w:spacing w:val="-4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tráfico.</w:t>
      </w:r>
      <w:r>
        <w:rPr>
          <w:spacing w:val="-4"/>
        </w:rPr>
        <w:t xml:space="preserve"> </w:t>
      </w:r>
      <w:r>
        <w:t>Expediente</w:t>
      </w:r>
      <w:r>
        <w:rPr>
          <w:spacing w:val="-3"/>
        </w:rPr>
        <w:t xml:space="preserve"> </w:t>
      </w:r>
      <w:r>
        <w:rPr>
          <w:spacing w:val="-2"/>
        </w:rPr>
        <w:t>5208/2026.</w:t>
      </w:r>
    </w:p>
    <w:p w14:paraId="7B28F078" w14:textId="77777777" w:rsidR="003C036E" w:rsidRDefault="003C036E">
      <w:pPr>
        <w:pStyle w:val="Textoindependiente"/>
        <w:sectPr w:rsidR="003C036E" w:rsidSect="00182307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6C9E29EC" w14:textId="77777777" w:rsidR="003C036E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83" w:line="336" w:lineRule="auto"/>
        <w:ind w:right="150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80A01EB" wp14:editId="42F87B6F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A650B6" w14:textId="77777777" w:rsidR="003C036E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A73295D" w14:textId="77777777" w:rsidR="003C036E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2026-2140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26/03/2026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A01EB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FA650B6" w14:textId="77777777" w:rsidR="003C036E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A73295D" w14:textId="77777777" w:rsidR="003C036E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2026-2140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26/03/2026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1A4386D" wp14:editId="2415850A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3AEDB" w14:textId="5BB7E01F" w:rsidR="003C036E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898019E" w14:textId="77777777" w:rsidR="003C036E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A82E031" w14:textId="77777777" w:rsidR="003C036E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4386D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6D43AEDB" w14:textId="5BB7E01F" w:rsidR="003C036E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898019E" w14:textId="77777777" w:rsidR="003C036E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A82E031" w14:textId="77777777" w:rsidR="003C036E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Reconocimiento y abono de complemento extraordinario de productividad por servicios prestados, conforme lo dispuesto en el artículo 33 del acuerdo adoptado por la Mesa General de negociación del personal funcionario a D. J.B.S.J. Expediente 11627/2026.</w:t>
      </w:r>
    </w:p>
    <w:p w14:paraId="0ABB262B" w14:textId="4A1C6CA7" w:rsidR="003C036E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Modificación del contrato suscrito con Piscinas </w:t>
      </w:r>
      <w:proofErr w:type="spellStart"/>
      <w:r>
        <w:rPr>
          <w:sz w:val="20"/>
        </w:rPr>
        <w:t>Aquakit</w:t>
      </w:r>
      <w:proofErr w:type="spellEnd"/>
      <w:r>
        <w:rPr>
          <w:sz w:val="20"/>
        </w:rPr>
        <w:t>, S.L.</w:t>
      </w:r>
      <w:r w:rsidR="00182307">
        <w:rPr>
          <w:sz w:val="20"/>
        </w:rPr>
        <w:t>,</w:t>
      </w:r>
      <w:r>
        <w:rPr>
          <w:sz w:val="20"/>
        </w:rPr>
        <w:t xml:space="preserve"> para la prestación del servicio (2022032 SER LOTE2) de asistencia médica y socorrismo, salvamento en instalaciones deportivas municipales (dos lotes) lote 2: Salvamento-Socorrismo. Expediente 4175/2024.</w:t>
      </w:r>
    </w:p>
    <w:p w14:paraId="48B3F498" w14:textId="5707462C" w:rsidR="003C036E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 xml:space="preserve">Desestimación de la revisión de precios presentada por </w:t>
      </w:r>
      <w:proofErr w:type="spellStart"/>
      <w:r>
        <w:rPr>
          <w:sz w:val="20"/>
        </w:rPr>
        <w:t>Eulen</w:t>
      </w:r>
      <w:proofErr w:type="spellEnd"/>
      <w:r>
        <w:rPr>
          <w:sz w:val="20"/>
        </w:rPr>
        <w:t xml:space="preserve"> Servicios Sociosanitarios</w:t>
      </w:r>
      <w:r w:rsidR="00182307">
        <w:rPr>
          <w:sz w:val="20"/>
        </w:rPr>
        <w:t>,</w:t>
      </w:r>
      <w:r>
        <w:rPr>
          <w:sz w:val="20"/>
        </w:rPr>
        <w:t xml:space="preserve"> S.A.</w:t>
      </w:r>
      <w:r w:rsidR="00182307">
        <w:rPr>
          <w:sz w:val="20"/>
        </w:rPr>
        <w:t>,</w:t>
      </w:r>
      <w:r>
        <w:rPr>
          <w:sz w:val="20"/>
        </w:rPr>
        <w:t xml:space="preserve"> por prestación del servicio de Teleasistencia. Expediente 4707/2024.</w:t>
      </w:r>
    </w:p>
    <w:p w14:paraId="3ABB552B" w14:textId="77777777" w:rsidR="003C036E" w:rsidRDefault="00000000">
      <w:pPr>
        <w:pStyle w:val="Prrafodelista"/>
        <w:numPr>
          <w:ilvl w:val="1"/>
          <w:numId w:val="2"/>
        </w:numPr>
        <w:tabs>
          <w:tab w:val="left" w:pos="1699"/>
        </w:tabs>
        <w:spacing w:line="336" w:lineRule="auto"/>
        <w:ind w:left="1419" w:right="150" w:firstLine="0"/>
        <w:jc w:val="right"/>
        <w:rPr>
          <w:sz w:val="20"/>
        </w:rPr>
      </w:pPr>
      <w:r>
        <w:rPr>
          <w:sz w:val="20"/>
        </w:rPr>
        <w:t>Aprobación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expediente,</w:t>
      </w:r>
      <w:r>
        <w:rPr>
          <w:spacing w:val="34"/>
          <w:sz w:val="20"/>
        </w:rPr>
        <w:t xml:space="preserve"> </w:t>
      </w:r>
      <w:r>
        <w:rPr>
          <w:sz w:val="20"/>
        </w:rPr>
        <w:t>del</w:t>
      </w:r>
      <w:r>
        <w:rPr>
          <w:spacing w:val="34"/>
          <w:sz w:val="20"/>
        </w:rPr>
        <w:t xml:space="preserve"> </w:t>
      </w:r>
      <w:r>
        <w:rPr>
          <w:sz w:val="20"/>
        </w:rPr>
        <w:t>pliego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cláusulas</w:t>
      </w:r>
      <w:r>
        <w:rPr>
          <w:spacing w:val="34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34"/>
          <w:sz w:val="20"/>
        </w:rPr>
        <w:t xml:space="preserve"> </w:t>
      </w:r>
      <w:r>
        <w:rPr>
          <w:sz w:val="20"/>
        </w:rPr>
        <w:t>y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la licitación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enajenación,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régimen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concurrencia,</w:t>
      </w:r>
      <w:r>
        <w:rPr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spacing w:val="40"/>
          <w:sz w:val="20"/>
        </w:rPr>
        <w:t xml:space="preserve"> </w:t>
      </w:r>
      <w:r>
        <w:rPr>
          <w:sz w:val="20"/>
        </w:rPr>
        <w:t>concurso,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vivienda situada en la calle Ramón Muncharaz, 10, 1º A, finca registral 50817. Expediente 60826/2024. 11.Aprobación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expediente,</w:t>
      </w:r>
      <w:r>
        <w:rPr>
          <w:spacing w:val="34"/>
          <w:sz w:val="20"/>
        </w:rPr>
        <w:t xml:space="preserve"> </w:t>
      </w:r>
      <w:r>
        <w:rPr>
          <w:sz w:val="20"/>
        </w:rPr>
        <w:t>del</w:t>
      </w:r>
      <w:r>
        <w:rPr>
          <w:spacing w:val="34"/>
          <w:sz w:val="20"/>
        </w:rPr>
        <w:t xml:space="preserve"> </w:t>
      </w:r>
      <w:r>
        <w:rPr>
          <w:sz w:val="20"/>
        </w:rPr>
        <w:t>pliego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cláusulas</w:t>
      </w:r>
      <w:r>
        <w:rPr>
          <w:spacing w:val="34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34"/>
          <w:sz w:val="20"/>
        </w:rPr>
        <w:t xml:space="preserve"> </w:t>
      </w:r>
      <w:r>
        <w:rPr>
          <w:sz w:val="20"/>
        </w:rPr>
        <w:t>y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la licitación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enajenación,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régimen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concurrencia,</w:t>
      </w:r>
      <w:r>
        <w:rPr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spacing w:val="40"/>
          <w:sz w:val="20"/>
        </w:rPr>
        <w:t xml:space="preserve"> </w:t>
      </w:r>
      <w:r>
        <w:rPr>
          <w:sz w:val="20"/>
        </w:rPr>
        <w:t>concurso,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vivienda situada</w:t>
      </w:r>
      <w:r>
        <w:rPr>
          <w:spacing w:val="80"/>
          <w:sz w:val="20"/>
        </w:rPr>
        <w:t xml:space="preserve"> </w:t>
      </w:r>
      <w:r>
        <w:rPr>
          <w:sz w:val="20"/>
        </w:rPr>
        <w:t>en</w:t>
      </w:r>
      <w:r>
        <w:rPr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calle</w:t>
      </w:r>
      <w:r>
        <w:rPr>
          <w:spacing w:val="80"/>
          <w:sz w:val="20"/>
        </w:rPr>
        <w:t xml:space="preserve"> </w:t>
      </w:r>
      <w:r>
        <w:rPr>
          <w:sz w:val="20"/>
        </w:rPr>
        <w:t>Ramón</w:t>
      </w:r>
      <w:r>
        <w:rPr>
          <w:spacing w:val="80"/>
          <w:sz w:val="20"/>
        </w:rPr>
        <w:t xml:space="preserve"> </w:t>
      </w:r>
      <w:r>
        <w:rPr>
          <w:sz w:val="20"/>
        </w:rPr>
        <w:t>Muncharaz,</w:t>
      </w:r>
      <w:r>
        <w:rPr>
          <w:spacing w:val="80"/>
          <w:sz w:val="20"/>
        </w:rPr>
        <w:t xml:space="preserve"> </w:t>
      </w:r>
      <w:r>
        <w:rPr>
          <w:sz w:val="20"/>
        </w:rPr>
        <w:t>10,</w:t>
      </w:r>
      <w:r>
        <w:rPr>
          <w:spacing w:val="80"/>
          <w:sz w:val="20"/>
        </w:rPr>
        <w:t xml:space="preserve"> </w:t>
      </w:r>
      <w:r>
        <w:rPr>
          <w:sz w:val="20"/>
        </w:rPr>
        <w:t>bajo</w:t>
      </w:r>
      <w:r>
        <w:rPr>
          <w:spacing w:val="80"/>
          <w:sz w:val="20"/>
        </w:rPr>
        <w:t xml:space="preserve"> </w:t>
      </w:r>
      <w:r>
        <w:rPr>
          <w:sz w:val="20"/>
        </w:rPr>
        <w:t>A,</w:t>
      </w:r>
      <w:r>
        <w:rPr>
          <w:spacing w:val="80"/>
          <w:sz w:val="20"/>
        </w:rPr>
        <w:t xml:space="preserve"> </w:t>
      </w:r>
      <w:r>
        <w:rPr>
          <w:sz w:val="20"/>
        </w:rPr>
        <w:t>finca</w:t>
      </w:r>
      <w:r>
        <w:rPr>
          <w:spacing w:val="80"/>
          <w:sz w:val="20"/>
        </w:rPr>
        <w:t xml:space="preserve"> </w:t>
      </w:r>
      <w:r>
        <w:rPr>
          <w:sz w:val="20"/>
        </w:rPr>
        <w:t>registral</w:t>
      </w:r>
      <w:r>
        <w:rPr>
          <w:spacing w:val="80"/>
          <w:sz w:val="20"/>
        </w:rPr>
        <w:t xml:space="preserve"> </w:t>
      </w:r>
      <w:r>
        <w:rPr>
          <w:sz w:val="20"/>
        </w:rPr>
        <w:t>50816.</w:t>
      </w:r>
      <w:r>
        <w:rPr>
          <w:spacing w:val="80"/>
          <w:sz w:val="20"/>
        </w:rPr>
        <w:t xml:space="preserve"> </w:t>
      </w:r>
      <w:r>
        <w:rPr>
          <w:sz w:val="20"/>
        </w:rPr>
        <w:t>Expediente</w:t>
      </w:r>
    </w:p>
    <w:p w14:paraId="3FBF2651" w14:textId="77777777" w:rsidR="003C036E" w:rsidRDefault="00000000">
      <w:pPr>
        <w:pStyle w:val="Textoindependiente"/>
        <w:spacing w:before="1"/>
        <w:ind w:firstLine="0"/>
        <w:jc w:val="left"/>
      </w:pPr>
      <w:r>
        <w:rPr>
          <w:spacing w:val="-2"/>
        </w:rPr>
        <w:t>60827/2024.</w:t>
      </w:r>
    </w:p>
    <w:p w14:paraId="232DC725" w14:textId="77777777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jc w:val="both"/>
        <w:rPr>
          <w:sz w:val="20"/>
        </w:rPr>
      </w:pPr>
      <w:r>
        <w:rPr>
          <w:sz w:val="20"/>
        </w:rPr>
        <w:t>Adjudicación del contrato administrativo de ejecución de las obras de embellecimiento de accesos a la Urbanización Molino de la Hoz, en las calles Azor y Camino Real, a Ingeniería, Obras y Tecnología Europea, S.L., mediante procedimiento abierto simplificado, un solo criterio de adjudicación y no sujeto a regulación armonizada. Expediente 238/2026.</w:t>
      </w:r>
    </w:p>
    <w:p w14:paraId="2E3DA87D" w14:textId="77777777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9"/>
        <w:jc w:val="both"/>
        <w:rPr>
          <w:sz w:val="20"/>
        </w:rPr>
      </w:pPr>
      <w:r>
        <w:rPr>
          <w:sz w:val="20"/>
        </w:rPr>
        <w:t>Aprobación del informe de viabilidad del contrato de concesión de servicio de impartición de cursos para la enseñanza de inglés. Expediente 2192/2026.</w:t>
      </w:r>
    </w:p>
    <w:p w14:paraId="0E759948" w14:textId="77777777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Aprobación de expediente de contratación de las obras de reparación y mejora de los</w:t>
      </w:r>
      <w:r>
        <w:rPr>
          <w:spacing w:val="40"/>
          <w:sz w:val="20"/>
        </w:rPr>
        <w:t xml:space="preserve"> </w:t>
      </w:r>
      <w:r>
        <w:rPr>
          <w:sz w:val="20"/>
        </w:rPr>
        <w:t>colegios públicos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Rozas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Madrid 2026, mediante procedimiento</w:t>
      </w:r>
      <w:r>
        <w:rPr>
          <w:spacing w:val="-1"/>
          <w:sz w:val="20"/>
        </w:rPr>
        <w:t xml:space="preserve"> </w:t>
      </w:r>
      <w:r>
        <w:rPr>
          <w:sz w:val="20"/>
        </w:rPr>
        <w:t>abierto simplificado, un solo criterio de adjudicación y no sujeto a regulación armonizada. Tramitación anticipada. Expediente 12224/2026.</w:t>
      </w:r>
    </w:p>
    <w:p w14:paraId="508618C7" w14:textId="77777777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Aprobación del expediente de contratación de suministro de una solución de almacenamiento </w:t>
      </w:r>
      <w:proofErr w:type="spellStart"/>
      <w:r w:rsidRPr="00182307">
        <w:rPr>
          <w:i/>
          <w:iCs/>
          <w:sz w:val="20"/>
        </w:rPr>
        <w:t>backup</w:t>
      </w:r>
      <w:proofErr w:type="spellEnd"/>
      <w:r>
        <w:rPr>
          <w:sz w:val="20"/>
        </w:rPr>
        <w:t xml:space="preserve"> para el Ayuntamiento de Las Rozas de Madrid, por procedimiento abierto, varios criterios de adjudicación y sujeto a regulación armonizada. Expediente 12260/2026.</w:t>
      </w:r>
    </w:p>
    <w:p w14:paraId="437157EB" w14:textId="77777777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Aprobación de expediente de contratación de las obras de la operación asfalto 2026, distrito Centro, mediante procedimiento abierto, una pluralidad de criterios de adjudicación y no</w:t>
      </w:r>
      <w:r>
        <w:rPr>
          <w:spacing w:val="40"/>
          <w:sz w:val="20"/>
        </w:rPr>
        <w:t xml:space="preserve"> </w:t>
      </w:r>
      <w:r>
        <w:rPr>
          <w:sz w:val="20"/>
        </w:rPr>
        <w:t>sujeto a regulación armonizada. Tramitación anticipada. Expediente 12286/2026.</w:t>
      </w:r>
    </w:p>
    <w:p w14:paraId="6E46B31A" w14:textId="43074092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Concesión de licencia para la legalización de la terraza con cubierta permanente, así como ampliación del espacio destinado a acceso trasero de la cocina, solicitada por Quiosco Marazuela, S.L., calle Tulipán</w:t>
      </w:r>
      <w:r w:rsidR="00182307">
        <w:rPr>
          <w:sz w:val="20"/>
        </w:rPr>
        <w:t>,</w:t>
      </w:r>
      <w:r>
        <w:rPr>
          <w:sz w:val="20"/>
        </w:rPr>
        <w:t xml:space="preserve"> esquina a calle Mirto</w:t>
      </w:r>
      <w:r w:rsidR="00182307">
        <w:rPr>
          <w:sz w:val="20"/>
        </w:rPr>
        <w:t>,</w:t>
      </w:r>
      <w:r>
        <w:rPr>
          <w:sz w:val="20"/>
        </w:rPr>
        <w:t xml:space="preserve"> 2, según proyecto técnico visado redactado por colegiado 17694 COEIC. Expediente 8598/2024.</w:t>
      </w:r>
    </w:p>
    <w:p w14:paraId="2951D965" w14:textId="08450AB1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Concesión de licencia de actividad para venta de artículos de peluquería a Florentino</w:t>
      </w:r>
      <w:r>
        <w:rPr>
          <w:spacing w:val="40"/>
          <w:sz w:val="20"/>
        </w:rPr>
        <w:t xml:space="preserve"> </w:t>
      </w:r>
      <w:r>
        <w:rPr>
          <w:sz w:val="20"/>
        </w:rPr>
        <w:t>Artículos de Peluquería</w:t>
      </w:r>
      <w:r w:rsidR="00182307">
        <w:rPr>
          <w:sz w:val="20"/>
        </w:rPr>
        <w:t>,</w:t>
      </w:r>
      <w:r>
        <w:rPr>
          <w:sz w:val="20"/>
        </w:rPr>
        <w:t xml:space="preserve"> S.L., calle Módena, 11, de Las Rozas de Madrid, según proyecto técnico de ejecución visado por el Colegio Oficial de Arquitectos de Madrid (COAM), colegiado10.578. Expediente 10040/2024.</w:t>
      </w:r>
    </w:p>
    <w:p w14:paraId="440DAF5D" w14:textId="77777777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Concesión de licencia de obra mayor para la ampliación fase 4 conjunto comercial Las Rozas </w:t>
      </w:r>
      <w:proofErr w:type="spellStart"/>
      <w:r>
        <w:rPr>
          <w:sz w:val="20"/>
        </w:rPr>
        <w:t>Village</w:t>
      </w:r>
      <w:proofErr w:type="spellEnd"/>
      <w:r>
        <w:rPr>
          <w:sz w:val="20"/>
        </w:rPr>
        <w:t xml:space="preserve"> y aparcamiento subterráneo sito en la calle Juan Ramón Jimenez, 3, de Las Rozas de Madrid</w:t>
      </w:r>
      <w:r>
        <w:rPr>
          <w:spacing w:val="23"/>
          <w:sz w:val="20"/>
        </w:rPr>
        <w:t xml:space="preserve"> </w:t>
      </w:r>
      <w:r>
        <w:rPr>
          <w:sz w:val="20"/>
        </w:rPr>
        <w:t>y</w:t>
      </w:r>
      <w:r>
        <w:rPr>
          <w:spacing w:val="23"/>
          <w:sz w:val="20"/>
        </w:rPr>
        <w:t xml:space="preserve"> </w:t>
      </w:r>
      <w:r>
        <w:rPr>
          <w:sz w:val="20"/>
        </w:rPr>
        <w:t>para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implantación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aparcamiento</w:t>
      </w:r>
      <w:r>
        <w:rPr>
          <w:spacing w:val="23"/>
          <w:sz w:val="20"/>
        </w:rPr>
        <w:t xml:space="preserve"> </w:t>
      </w:r>
      <w:r>
        <w:rPr>
          <w:sz w:val="20"/>
        </w:rPr>
        <w:t>provisional</w:t>
      </w:r>
      <w:r>
        <w:rPr>
          <w:spacing w:val="22"/>
          <w:sz w:val="20"/>
        </w:rPr>
        <w:t xml:space="preserve"> </w:t>
      </w:r>
      <w:r>
        <w:rPr>
          <w:sz w:val="20"/>
        </w:rPr>
        <w:t>y</w:t>
      </w:r>
      <w:r>
        <w:rPr>
          <w:spacing w:val="23"/>
          <w:sz w:val="20"/>
        </w:rPr>
        <w:t xml:space="preserve"> </w:t>
      </w:r>
      <w:r>
        <w:rPr>
          <w:sz w:val="20"/>
        </w:rPr>
        <w:t>temporal</w:t>
      </w:r>
      <w:r>
        <w:rPr>
          <w:spacing w:val="24"/>
          <w:sz w:val="20"/>
        </w:rPr>
        <w:t xml:space="preserve"> </w:t>
      </w:r>
      <w:r>
        <w:rPr>
          <w:sz w:val="20"/>
        </w:rPr>
        <w:t>al</w:t>
      </w:r>
      <w:r>
        <w:rPr>
          <w:spacing w:val="24"/>
          <w:sz w:val="20"/>
        </w:rPr>
        <w:t xml:space="preserve"> </w:t>
      </w:r>
      <w:r>
        <w:rPr>
          <w:sz w:val="20"/>
        </w:rPr>
        <w:t>aire</w:t>
      </w:r>
      <w:r>
        <w:rPr>
          <w:spacing w:val="25"/>
          <w:sz w:val="20"/>
        </w:rPr>
        <w:t xml:space="preserve"> </w:t>
      </w:r>
      <w:r>
        <w:rPr>
          <w:sz w:val="20"/>
        </w:rPr>
        <w:t>libre,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Value</w:t>
      </w:r>
      <w:proofErr w:type="spellEnd"/>
    </w:p>
    <w:p w14:paraId="5C0D5B0D" w14:textId="77777777" w:rsidR="003C036E" w:rsidRDefault="003C036E">
      <w:pPr>
        <w:pStyle w:val="Prrafodelista"/>
        <w:spacing w:line="336" w:lineRule="auto"/>
        <w:rPr>
          <w:sz w:val="20"/>
        </w:rPr>
        <w:sectPr w:rsidR="003C036E">
          <w:pgSz w:w="11910" w:h="16840"/>
          <w:pgMar w:top="1720" w:right="1275" w:bottom="1180" w:left="425" w:header="567" w:footer="996" w:gutter="0"/>
          <w:cols w:space="720"/>
        </w:sectPr>
      </w:pPr>
    </w:p>
    <w:p w14:paraId="076ADA84" w14:textId="71B5CDCD" w:rsidR="003C036E" w:rsidRDefault="00000000">
      <w:pPr>
        <w:pStyle w:val="Textoindependiente"/>
        <w:spacing w:before="83" w:line="336" w:lineRule="auto"/>
        <w:ind w:right="152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689DA97F" wp14:editId="037C5750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C373AC" w14:textId="77777777" w:rsidR="003C036E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25396DD8" w14:textId="77777777" w:rsidR="003C036E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2026-2140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26/03/2026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DA97F" id="Textbox 16" o:spid="_x0000_s1035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0C373AC" w14:textId="77777777" w:rsidR="003C036E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25396DD8" w14:textId="77777777" w:rsidR="003C036E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2026-2140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26/03/2026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42E5A4C" wp14:editId="114B0555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09F088" w14:textId="74BAFA50" w:rsidR="003C036E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55D59DD" w14:textId="77777777" w:rsidR="003C036E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94D3F90" w14:textId="77777777" w:rsidR="003C036E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5A4C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109F088" w14:textId="74BAFA50" w:rsidR="003C036E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55D59DD" w14:textId="77777777" w:rsidR="003C036E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94D3F90" w14:textId="77777777" w:rsidR="003C036E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>
        <w:t>Retail</w:t>
      </w:r>
      <w:proofErr w:type="spellEnd"/>
      <w:r>
        <w:t xml:space="preserve"> Madrid</w:t>
      </w:r>
      <w:r w:rsidR="00182307">
        <w:t>,</w:t>
      </w:r>
      <w:r>
        <w:t xml:space="preserve"> S.L., según proyectos técnicos redactados por colegiados 70787 y 60332 COAM. Expediente 54737/2024.</w:t>
      </w:r>
    </w:p>
    <w:p w14:paraId="294DB6CC" w14:textId="66CC357E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Desestimar íntegramente las alegaciones presentadas por D. M.A.B.H</w:t>
      </w:r>
      <w:r w:rsidR="00182307">
        <w:rPr>
          <w:sz w:val="20"/>
        </w:rPr>
        <w:t>.,</w:t>
      </w:r>
      <w:r>
        <w:rPr>
          <w:sz w:val="20"/>
        </w:rPr>
        <w:t xml:space="preserve"> y continuar tramitación del expediente de aprobación definitiva del Proyecto de Reparcelación de las parcelas situadas en los números 1, 3 y 5 de la Plaza de Madrid, en desarrollo del PERI San</w:t>
      </w:r>
      <w:r>
        <w:rPr>
          <w:spacing w:val="40"/>
          <w:sz w:val="20"/>
        </w:rPr>
        <w:t xml:space="preserve"> </w:t>
      </w:r>
      <w:r>
        <w:rPr>
          <w:sz w:val="20"/>
        </w:rPr>
        <w:t>Francisco. Expediente 34687/2025.</w:t>
      </w:r>
    </w:p>
    <w:p w14:paraId="256A7678" w14:textId="432D2200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Finalización de la tramitación del expediente relativo a licencia apertura de garaje en la calle Camilo José Cela, 11, parcela 13.1.B Parque Empresarial, presentada por Bañolas Grupo de Gestión</w:t>
      </w:r>
      <w:r w:rsidR="00182307">
        <w:rPr>
          <w:sz w:val="20"/>
        </w:rPr>
        <w:t>,</w:t>
      </w:r>
      <w:r>
        <w:rPr>
          <w:sz w:val="20"/>
        </w:rPr>
        <w:t xml:space="preserve"> S.A, por no precisar licencia de funcionamiento (77/1999-LC). Expediente </w:t>
      </w:r>
      <w:r>
        <w:rPr>
          <w:spacing w:val="-2"/>
          <w:sz w:val="20"/>
        </w:rPr>
        <w:t>11348/2026.</w:t>
      </w:r>
    </w:p>
    <w:p w14:paraId="004FA294" w14:textId="4A9027D9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Finalización la tramitación del expediente relativo a licencia de apertura de garaje y ascensores en la calle José Echegaray 11, con vuelta a la calle Gabriel García Márquez, solicitada por </w:t>
      </w:r>
      <w:proofErr w:type="spellStart"/>
      <w:r>
        <w:rPr>
          <w:sz w:val="20"/>
        </w:rPr>
        <w:t>Promarnof</w:t>
      </w:r>
      <w:proofErr w:type="spellEnd"/>
      <w:r>
        <w:rPr>
          <w:sz w:val="20"/>
        </w:rPr>
        <w:t>, S.L.</w:t>
      </w:r>
      <w:r w:rsidR="00182307">
        <w:rPr>
          <w:sz w:val="20"/>
        </w:rPr>
        <w:t>,</w:t>
      </w:r>
      <w:r>
        <w:rPr>
          <w:sz w:val="20"/>
        </w:rPr>
        <w:t xml:space="preserve"> correspondiendo una vez otorgado cambio de titularidad,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BCH </w:t>
      </w:r>
      <w:proofErr w:type="spellStart"/>
      <w:r>
        <w:rPr>
          <w:sz w:val="20"/>
        </w:rPr>
        <w:t>Banif</w:t>
      </w:r>
      <w:proofErr w:type="spellEnd"/>
      <w:r>
        <w:rPr>
          <w:sz w:val="20"/>
        </w:rPr>
        <w:t xml:space="preserve"> Fondo Inmobiliario, por no precisar licencia de funcionamiento el garaje-aparcamiento privado</w:t>
      </w:r>
      <w:r w:rsidR="00182307">
        <w:rPr>
          <w:sz w:val="20"/>
        </w:rPr>
        <w:t xml:space="preserve"> </w:t>
      </w:r>
      <w:r>
        <w:rPr>
          <w:sz w:val="20"/>
        </w:rPr>
        <w:t>(93/1999-LC). Expediente 11511/2026.</w:t>
      </w:r>
    </w:p>
    <w:p w14:paraId="0A1CB819" w14:textId="480A3496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1" w:line="336" w:lineRule="auto"/>
        <w:jc w:val="both"/>
        <w:rPr>
          <w:sz w:val="20"/>
        </w:rPr>
      </w:pPr>
      <w:r>
        <w:rPr>
          <w:sz w:val="20"/>
        </w:rPr>
        <w:t xml:space="preserve">Finalización de la tramitación del expediente relativo a licencia de garaje en la calle Severo Ochoa, 10, solicitado por </w:t>
      </w:r>
      <w:proofErr w:type="spellStart"/>
      <w:r>
        <w:rPr>
          <w:sz w:val="20"/>
        </w:rPr>
        <w:t>Necso</w:t>
      </w:r>
      <w:proofErr w:type="spellEnd"/>
      <w:r>
        <w:rPr>
          <w:sz w:val="20"/>
        </w:rPr>
        <w:t xml:space="preserve"> Entrecanales Cubiertas</w:t>
      </w:r>
      <w:r w:rsidR="00182307">
        <w:rPr>
          <w:sz w:val="20"/>
        </w:rPr>
        <w:t>,</w:t>
      </w:r>
      <w:r>
        <w:rPr>
          <w:sz w:val="20"/>
        </w:rPr>
        <w:t xml:space="preserve"> S.A., por no precisar licencia de funcionamiento el garaje-aparcamiento privado (108/1999-LC). Expediente 11537/2026.</w:t>
      </w:r>
    </w:p>
    <w:p w14:paraId="0ACF50A2" w14:textId="77777777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</w:rPr>
      </w:pPr>
      <w:r>
        <w:rPr>
          <w:sz w:val="20"/>
        </w:rPr>
        <w:t xml:space="preserve">Finalización de la tramitación del expediente relativo a licencia de apertura de garaje en la calle Camilo José Cela, 8, solicitada por Inmobiliaria </w:t>
      </w:r>
      <w:proofErr w:type="spellStart"/>
      <w:r>
        <w:rPr>
          <w:sz w:val="20"/>
        </w:rPr>
        <w:t>Ikasa</w:t>
      </w:r>
      <w:proofErr w:type="spellEnd"/>
      <w:r>
        <w:rPr>
          <w:sz w:val="20"/>
        </w:rPr>
        <w:t xml:space="preserve"> S.A., por no precisar licencia de funcionamiento el garaje-aparcamiento privado (68/1999-LC). Expediente 11538/2026.</w:t>
      </w:r>
    </w:p>
    <w:p w14:paraId="4E550586" w14:textId="17558301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Finalización de la tramitación del expediente relativo a licencia de apertura de garaje (garaje C) en la calle Pocito de San Roque con vuelta a la Carretera de El Escorial km. 1,900, solicitada por Nacor</w:t>
      </w:r>
      <w:r w:rsidR="00182307">
        <w:rPr>
          <w:sz w:val="20"/>
        </w:rPr>
        <w:t>,</w:t>
      </w:r>
      <w:r>
        <w:rPr>
          <w:sz w:val="20"/>
        </w:rPr>
        <w:t xml:space="preserve"> S.A., por no precisar licencia de funcionamiento (80/1999-LC). Expediente 11541/2026.</w:t>
      </w:r>
    </w:p>
    <w:p w14:paraId="2EC1B67B" w14:textId="01A369EB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Finalización de la tramitación del expediente relativo a licencia de apertura de garaje en la calle Comunidad de Andalucía, 59, solicitada por Constructora Miño</w:t>
      </w:r>
      <w:r w:rsidR="00182307">
        <w:rPr>
          <w:sz w:val="20"/>
        </w:rPr>
        <w:t>,</w:t>
      </w:r>
      <w:r>
        <w:rPr>
          <w:sz w:val="20"/>
        </w:rPr>
        <w:t xml:space="preserve"> S.L.</w:t>
      </w:r>
      <w:r w:rsidR="00182307">
        <w:rPr>
          <w:sz w:val="20"/>
        </w:rPr>
        <w:t>,</w:t>
      </w:r>
      <w:r>
        <w:rPr>
          <w:sz w:val="20"/>
        </w:rPr>
        <w:t xml:space="preserve"> por no precisar licencia de funcionamiento (19/1999-LC)</w:t>
      </w:r>
      <w:r w:rsidR="00182307">
        <w:rPr>
          <w:sz w:val="20"/>
        </w:rPr>
        <w:t>.</w:t>
      </w:r>
      <w:r>
        <w:rPr>
          <w:sz w:val="20"/>
        </w:rPr>
        <w:t xml:space="preserve"> Expediente 11825/2026.</w:t>
      </w:r>
    </w:p>
    <w:p w14:paraId="58826699" w14:textId="5C017691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Admisión a trámite de la solicitud presentada por Producciones </w:t>
      </w:r>
      <w:proofErr w:type="spellStart"/>
      <w:r>
        <w:rPr>
          <w:sz w:val="20"/>
        </w:rPr>
        <w:t>Napema</w:t>
      </w:r>
      <w:proofErr w:type="spellEnd"/>
      <w:r>
        <w:rPr>
          <w:sz w:val="20"/>
        </w:rPr>
        <w:t xml:space="preserve">, S.L., para otorgamiento de autorización demanial de ocupación en la </w:t>
      </w:r>
      <w:r w:rsidR="00182307">
        <w:rPr>
          <w:sz w:val="20"/>
        </w:rPr>
        <w:t>p</w:t>
      </w:r>
      <w:r>
        <w:rPr>
          <w:sz w:val="20"/>
        </w:rPr>
        <w:t>laza de España, para la realización del evento Feria de la primavera de Las Rozas. Expediente 3079/2026.</w:t>
      </w:r>
    </w:p>
    <w:p w14:paraId="1DA6D43A" w14:textId="77777777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</w:rPr>
      </w:pPr>
      <w:r>
        <w:rPr>
          <w:sz w:val="20"/>
        </w:rPr>
        <w:t xml:space="preserve">Admisión a trámite de la solicitud presentada por </w:t>
      </w:r>
      <w:proofErr w:type="spellStart"/>
      <w:r>
        <w:rPr>
          <w:sz w:val="20"/>
        </w:rPr>
        <w:t>Calsotada</w:t>
      </w:r>
      <w:proofErr w:type="spellEnd"/>
      <w:r>
        <w:rPr>
          <w:sz w:val="20"/>
        </w:rPr>
        <w:t xml:space="preserve"> Fest, S.L., para otorgamiento de autorización demanial de ocupación en el Centro Multiusos, para la realización del evento </w:t>
      </w:r>
      <w:r w:rsidRPr="00182307">
        <w:rPr>
          <w:i/>
          <w:iCs/>
          <w:sz w:val="20"/>
        </w:rPr>
        <w:t xml:space="preserve">“7ª Edición </w:t>
      </w:r>
      <w:proofErr w:type="spellStart"/>
      <w:r w:rsidRPr="00182307">
        <w:rPr>
          <w:i/>
          <w:iCs/>
          <w:sz w:val="20"/>
        </w:rPr>
        <w:t>Calsotada</w:t>
      </w:r>
      <w:proofErr w:type="spellEnd"/>
      <w:r w:rsidRPr="00182307">
        <w:rPr>
          <w:i/>
          <w:iCs/>
          <w:sz w:val="20"/>
        </w:rPr>
        <w:t xml:space="preserve"> Fest”.</w:t>
      </w:r>
      <w:r>
        <w:rPr>
          <w:sz w:val="20"/>
        </w:rPr>
        <w:t xml:space="preserve"> Expediente 4836/2026.</w:t>
      </w:r>
    </w:p>
    <w:p w14:paraId="242863FA" w14:textId="3F2E77E9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Aprobación del convenio de colaboración entre el Ayuntamiento de las Rozas de Madrid y la Peña Er Kite de Las Matas</w:t>
      </w:r>
      <w:r w:rsidR="00182307">
        <w:rPr>
          <w:sz w:val="20"/>
        </w:rPr>
        <w:t>,</w:t>
      </w:r>
      <w:r>
        <w:rPr>
          <w:sz w:val="20"/>
        </w:rPr>
        <w:t xml:space="preserve"> para promover y apoyar la celebración de actividades con motivo de las fiestas del municipio. Expediente 2145/2026.</w:t>
      </w:r>
    </w:p>
    <w:p w14:paraId="3C903C6C" w14:textId="77777777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Aprobación del convenio de colaboración entre el Ayuntamiento de las Rozas de Madrid y la Asociación Peña </w:t>
      </w:r>
      <w:proofErr w:type="spellStart"/>
      <w:r>
        <w:rPr>
          <w:sz w:val="20"/>
        </w:rPr>
        <w:t>Quitamanías</w:t>
      </w:r>
      <w:proofErr w:type="spellEnd"/>
      <w:r>
        <w:rPr>
          <w:sz w:val="20"/>
        </w:rPr>
        <w:t>, promover y apoyar la celebración de actividades con motivo</w:t>
      </w:r>
      <w:r>
        <w:rPr>
          <w:spacing w:val="40"/>
          <w:sz w:val="20"/>
        </w:rPr>
        <w:t xml:space="preserve"> </w:t>
      </w:r>
      <w:r>
        <w:rPr>
          <w:sz w:val="20"/>
        </w:rPr>
        <w:t>de las fiestas del municipio. Expediente 2145/2026.</w:t>
      </w:r>
    </w:p>
    <w:p w14:paraId="046AC378" w14:textId="77777777" w:rsidR="003C036E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Aprobación del reintegro a la Delegación General de política comercial y competitividad, conforme al expediente ACT-010000-2022-28, según la Orden ICT/ 951/2021, modificada por</w:t>
      </w:r>
    </w:p>
    <w:p w14:paraId="0ED989F8" w14:textId="77777777" w:rsidR="003C036E" w:rsidRDefault="003C036E">
      <w:pPr>
        <w:pStyle w:val="Prrafodelista"/>
        <w:spacing w:line="336" w:lineRule="auto"/>
        <w:rPr>
          <w:sz w:val="20"/>
        </w:rPr>
        <w:sectPr w:rsidR="003C036E">
          <w:pgSz w:w="11910" w:h="16840"/>
          <w:pgMar w:top="1720" w:right="1275" w:bottom="1180" w:left="425" w:header="567" w:footer="996" w:gutter="0"/>
          <w:cols w:space="720"/>
        </w:sectPr>
      </w:pPr>
    </w:p>
    <w:p w14:paraId="4A8EAB7C" w14:textId="77777777" w:rsidR="003C036E" w:rsidRDefault="00000000">
      <w:pPr>
        <w:pStyle w:val="Textoindependiente"/>
        <w:spacing w:before="83" w:line="336" w:lineRule="auto"/>
        <w:ind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06183AB1" wp14:editId="6A903D3D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8DDCCB" w14:textId="77777777" w:rsidR="003C036E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55C0887" w14:textId="77777777" w:rsidR="003C036E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2026-2140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26/03/2026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83AB1" id="Textbox 18" o:spid="_x0000_s1037" type="#_x0000_t202" style="position:absolute;left:0;text-align:left;margin-left:536pt;margin-top:306.1pt;width:33.05pt;height:166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P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Sqj5qMNtAcSQ/NIYDku7ojYQO1tOP7cyag56z97&#10;8i/PwimJp2RzSmLqP0CZmCzRw/tdAmMLocs3EyFqTJE0DVHu/O/7UnUZ9fUv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PPG0+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188DDCCB" w14:textId="77777777" w:rsidR="003C036E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55C0887" w14:textId="77777777" w:rsidR="003C036E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2026-2140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26/03/2026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A8A3C0E" wp14:editId="642EB854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028D91" w14:textId="35125AE7" w:rsidR="003C036E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EFDB46B" w14:textId="77777777" w:rsidR="003C036E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5FF1DF4" w14:textId="77777777" w:rsidR="003C036E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A3C0E" id="Textbox 19" o:spid="_x0000_s1038" type="#_x0000_t202" style="position:absolute;left:0;text-align:left;margin-left:548.55pt;margin-top:522.6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A028D91" w14:textId="35125AE7" w:rsidR="003C036E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EFDB46B" w14:textId="77777777" w:rsidR="003C036E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5FF1DF4" w14:textId="77777777" w:rsidR="003C036E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la Orden</w:t>
      </w:r>
      <w:r>
        <w:rPr>
          <w:spacing w:val="-2"/>
        </w:rPr>
        <w:t xml:space="preserve"> </w:t>
      </w:r>
      <w:r>
        <w:t>ICT/567/2022. Gestión, Coordinación y</w:t>
      </w:r>
      <w:r>
        <w:rPr>
          <w:spacing w:val="-2"/>
        </w:rPr>
        <w:t xml:space="preserve"> </w:t>
      </w:r>
      <w:r>
        <w:t>Justificación de los Fondos</w:t>
      </w:r>
      <w:r>
        <w:rPr>
          <w:spacing w:val="-2"/>
        </w:rPr>
        <w:t xml:space="preserve"> </w:t>
      </w:r>
      <w:r>
        <w:t>Next.</w:t>
      </w:r>
      <w:r>
        <w:rPr>
          <w:spacing w:val="-2"/>
        </w:rPr>
        <w:t xml:space="preserve"> </w:t>
      </w:r>
      <w:r>
        <w:t xml:space="preserve">Expediente </w:t>
      </w:r>
      <w:r>
        <w:rPr>
          <w:spacing w:val="-2"/>
        </w:rPr>
        <w:t>768/2024.</w:t>
      </w:r>
    </w:p>
    <w:p w14:paraId="5E559D52" w14:textId="77777777" w:rsidR="003C036E" w:rsidRDefault="003C036E">
      <w:pPr>
        <w:pStyle w:val="Textoindependiente"/>
        <w:spacing w:before="212"/>
        <w:ind w:left="0" w:firstLine="0"/>
        <w:jc w:val="left"/>
      </w:pPr>
    </w:p>
    <w:p w14:paraId="15813480" w14:textId="77777777" w:rsidR="003C036E" w:rsidRDefault="00000000">
      <w:pPr>
        <w:pStyle w:val="Ttulo1"/>
        <w:numPr>
          <w:ilvl w:val="0"/>
          <w:numId w:val="2"/>
        </w:numPr>
        <w:tabs>
          <w:tab w:val="left" w:pos="1259"/>
        </w:tabs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18C7C095" w14:textId="4421B2A4" w:rsidR="003C036E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182307">
        <w:rPr>
          <w:spacing w:val="-2"/>
        </w:rPr>
        <w:t>.</w:t>
      </w:r>
    </w:p>
    <w:p w14:paraId="4233E2CE" w14:textId="77777777" w:rsidR="003C036E" w:rsidRDefault="003C036E">
      <w:pPr>
        <w:pStyle w:val="Textoindependiente"/>
        <w:ind w:left="0" w:firstLine="0"/>
        <w:jc w:val="left"/>
      </w:pPr>
    </w:p>
    <w:p w14:paraId="5B90C809" w14:textId="77777777" w:rsidR="003C036E" w:rsidRDefault="003C036E">
      <w:pPr>
        <w:pStyle w:val="Textoindependiente"/>
        <w:spacing w:before="74"/>
        <w:ind w:left="0" w:firstLine="0"/>
        <w:jc w:val="left"/>
      </w:pPr>
    </w:p>
    <w:p w14:paraId="5C56DAE2" w14:textId="77777777" w:rsidR="003C036E" w:rsidRDefault="00000000">
      <w:pPr>
        <w:pStyle w:val="Ttulo1"/>
        <w:numPr>
          <w:ilvl w:val="0"/>
          <w:numId w:val="2"/>
        </w:numPr>
        <w:tabs>
          <w:tab w:val="left" w:pos="1259"/>
        </w:tabs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0B17F33C" w14:textId="5BCF26DA" w:rsidR="003C036E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182307">
        <w:rPr>
          <w:spacing w:val="-2"/>
        </w:rPr>
        <w:t>.</w:t>
      </w:r>
    </w:p>
    <w:p w14:paraId="30DB0430" w14:textId="77777777" w:rsidR="003C036E" w:rsidRDefault="003C036E">
      <w:pPr>
        <w:pStyle w:val="Textoindependiente"/>
        <w:spacing w:before="122"/>
        <w:ind w:left="0" w:firstLine="0"/>
        <w:jc w:val="left"/>
      </w:pPr>
    </w:p>
    <w:p w14:paraId="5D3C728A" w14:textId="77777777" w:rsidR="003C036E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3C036E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D6E5" w14:textId="77777777" w:rsidR="003B6C5E" w:rsidRDefault="003B6C5E">
      <w:r>
        <w:separator/>
      </w:r>
    </w:p>
  </w:endnote>
  <w:endnote w:type="continuationSeparator" w:id="0">
    <w:p w14:paraId="2CF7F65E" w14:textId="77777777" w:rsidR="003B6C5E" w:rsidRDefault="003B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7683" w14:textId="55C6B570" w:rsidR="003C036E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50F3180F" wp14:editId="432B5DAF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6932EE" id="Graphic 3" o:spid="_x0000_s1026" style="position:absolute;margin-left:70.9pt;margin-top:778.35pt;width:453.55pt;height:.1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1D16731A" wp14:editId="014A5DE7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F5EDA" w14:textId="77777777" w:rsidR="003C036E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67269A8C" w14:textId="77777777" w:rsidR="003C036E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6731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157.1pt;margin-top:789.25pt;width:279pt;height:25.3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313F5EDA" w14:textId="77777777" w:rsidR="003C036E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67269A8C" w14:textId="77777777" w:rsidR="003C036E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2735" w14:textId="77777777" w:rsidR="003B6C5E" w:rsidRDefault="003B6C5E">
      <w:r>
        <w:separator/>
      </w:r>
    </w:p>
  </w:footnote>
  <w:footnote w:type="continuationSeparator" w:id="0">
    <w:p w14:paraId="38B011D9" w14:textId="77777777" w:rsidR="003B6C5E" w:rsidRDefault="003B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8CCFF" w14:textId="77777777" w:rsidR="003C036E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85952" behindDoc="1" locked="0" layoutInCell="1" allowOverlap="1" wp14:anchorId="24444A9D" wp14:editId="6AEF365C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FEA7" w14:textId="29539E01" w:rsidR="00182307" w:rsidRPr="00E338EF" w:rsidRDefault="00182307" w:rsidP="00182307">
    <w:pPr>
      <w:pStyle w:val="Encabezado"/>
      <w:rPr>
        <w:sz w:val="20"/>
        <w:szCs w:val="20"/>
      </w:rPr>
    </w:pPr>
    <w:r w:rsidRPr="00E338EF">
      <w:rPr>
        <w:noProof/>
      </w:rPr>
      <w:drawing>
        <wp:anchor distT="0" distB="0" distL="114300" distR="114300" simplePos="0" relativeHeight="251659264" behindDoc="0" locked="0" layoutInCell="1" allowOverlap="0" wp14:anchorId="3F3C1D57" wp14:editId="216B191E">
          <wp:simplePos x="0" y="0"/>
          <wp:positionH relativeFrom="page">
            <wp:posOffset>936625</wp:posOffset>
          </wp:positionH>
          <wp:positionV relativeFrom="page">
            <wp:posOffset>209033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</w:t>
    </w:r>
    <w:r w:rsidRPr="00E338EF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E338EF">
      <w:rPr>
        <w:sz w:val="20"/>
        <w:szCs w:val="20"/>
      </w:rPr>
      <w:t xml:space="preserve">PREPARADO PARA PUBLICAR EN EL PORTAL DE </w:t>
    </w:r>
  </w:p>
  <w:p w14:paraId="415A259C" w14:textId="07E14970" w:rsidR="00182307" w:rsidRDefault="00182307" w:rsidP="00182307">
    <w:pPr>
      <w:pStyle w:val="Encabezado"/>
    </w:pPr>
    <w:r w:rsidRPr="00E338EF">
      <w:rPr>
        <w:sz w:val="20"/>
        <w:szCs w:val="20"/>
      </w:rPr>
      <w:t xml:space="preserve">                                                       </w:t>
    </w:r>
    <w:r>
      <w:rPr>
        <w:sz w:val="20"/>
        <w:szCs w:val="20"/>
      </w:rPr>
      <w:t xml:space="preserve">            </w:t>
    </w:r>
    <w:r w:rsidRPr="00E338EF">
      <w:rPr>
        <w:sz w:val="20"/>
        <w:szCs w:val="20"/>
      </w:rPr>
      <w:t>TRANSPARENCIA EN FORMATO REUTILIZABLE</w:t>
    </w:r>
  </w:p>
  <w:p w14:paraId="1076DF39" w14:textId="77777777" w:rsidR="00182307" w:rsidRDefault="001823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74B92"/>
    <w:multiLevelType w:val="hybridMultilevel"/>
    <w:tmpl w:val="E7C29010"/>
    <w:lvl w:ilvl="0" w:tplc="5FF0ED56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41E829C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3BF818FE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2096A452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718C7894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6A22F600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EFCACE58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A224A92A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24DA2032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7A9E47C6"/>
    <w:multiLevelType w:val="hybridMultilevel"/>
    <w:tmpl w:val="A02E99AC"/>
    <w:lvl w:ilvl="0" w:tplc="CBB4332C">
      <w:start w:val="12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 w:tplc="AC70B800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782240EC">
      <w:numFmt w:val="bullet"/>
      <w:lvlText w:val="•"/>
      <w:lvlJc w:val="left"/>
      <w:pPr>
        <w:ind w:left="3401" w:hanging="282"/>
      </w:pPr>
      <w:rPr>
        <w:rFonts w:hint="default"/>
        <w:lang w:val="es-ES" w:eastAsia="en-US" w:bidi="ar-SA"/>
      </w:rPr>
    </w:lvl>
    <w:lvl w:ilvl="3" w:tplc="03589B3E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285A5D2A">
      <w:numFmt w:val="bullet"/>
      <w:lvlText w:val="•"/>
      <w:lvlJc w:val="left"/>
      <w:pPr>
        <w:ind w:left="5102" w:hanging="282"/>
      </w:pPr>
      <w:rPr>
        <w:rFonts w:hint="default"/>
        <w:lang w:val="es-ES" w:eastAsia="en-US" w:bidi="ar-SA"/>
      </w:rPr>
    </w:lvl>
    <w:lvl w:ilvl="5" w:tplc="749C082E">
      <w:numFmt w:val="bullet"/>
      <w:lvlText w:val="•"/>
      <w:lvlJc w:val="left"/>
      <w:pPr>
        <w:ind w:left="5953" w:hanging="282"/>
      </w:pPr>
      <w:rPr>
        <w:rFonts w:hint="default"/>
        <w:lang w:val="es-ES" w:eastAsia="en-US" w:bidi="ar-SA"/>
      </w:rPr>
    </w:lvl>
    <w:lvl w:ilvl="6" w:tplc="1AE40588">
      <w:numFmt w:val="bullet"/>
      <w:lvlText w:val="•"/>
      <w:lvlJc w:val="left"/>
      <w:pPr>
        <w:ind w:left="6803" w:hanging="282"/>
      </w:pPr>
      <w:rPr>
        <w:rFonts w:hint="default"/>
        <w:lang w:val="es-ES" w:eastAsia="en-US" w:bidi="ar-SA"/>
      </w:rPr>
    </w:lvl>
    <w:lvl w:ilvl="7" w:tplc="81F89E7E">
      <w:numFmt w:val="bullet"/>
      <w:lvlText w:val="•"/>
      <w:lvlJc w:val="left"/>
      <w:pPr>
        <w:ind w:left="7654" w:hanging="282"/>
      </w:pPr>
      <w:rPr>
        <w:rFonts w:hint="default"/>
        <w:lang w:val="es-ES" w:eastAsia="en-US" w:bidi="ar-SA"/>
      </w:rPr>
    </w:lvl>
    <w:lvl w:ilvl="8" w:tplc="F344354E">
      <w:numFmt w:val="bullet"/>
      <w:lvlText w:val="•"/>
      <w:lvlJc w:val="left"/>
      <w:pPr>
        <w:ind w:left="8504" w:hanging="282"/>
      </w:pPr>
      <w:rPr>
        <w:rFonts w:hint="default"/>
        <w:lang w:val="es-ES" w:eastAsia="en-US" w:bidi="ar-SA"/>
      </w:rPr>
    </w:lvl>
  </w:abstractNum>
  <w:num w:numId="1" w16cid:durableId="70934967">
    <w:abstractNumId w:val="1"/>
  </w:num>
  <w:num w:numId="2" w16cid:durableId="52764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36E"/>
    <w:rsid w:val="00182307"/>
    <w:rsid w:val="003B6C5E"/>
    <w:rsid w:val="003C036E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D7ADD"/>
  <w15:docId w15:val="{CC3AA09F-66F0-449E-B39F-5DF1FFD7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259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8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1823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30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23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30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1375</Words>
  <Characters>7567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2026-04-13T09:35:00Z</dcterms:created>
  <dcterms:modified xsi:type="dcterms:W3CDTF">2026-04-13T09:42:00Z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2026-04-13T00:00:00Z</vt:filetime>
  </property>
</Properties>
</file>